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auto" w:fill="FFFFFF" w:themeFill="background1"/>
        <w:ind w:left="142" w:hanging="0"/>
        <w:jc w:val="center"/>
        <w:rPr>
          <w:rFonts w:ascii="Calibri" w:hAnsi="Calibri" w:cs="Calibri" w:asciiTheme="minorHAnsi" w:cstheme="minorHAnsi" w:hAnsiTheme="minorHAnsi"/>
        </w:rPr>
      </w:pPr>
      <w:r>
        <w:rPr/>
        <w:drawing>
          <wp:inline distT="0" distB="0" distL="0" distR="0">
            <wp:extent cx="737870" cy="806450"/>
            <wp:effectExtent l="0" t="0" r="0" b="0"/>
            <wp:docPr id="1"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inline>
        </w:drawing>
      </w:r>
    </w:p>
    <w:p>
      <w:pPr>
        <w:pStyle w:val="Normal"/>
        <w:shd w:val="clear" w:color="auto" w:fill="FFFFFF" w:themeFill="background1"/>
        <w:ind w:left="142" w:hanging="0"/>
        <w:jc w:val="center"/>
        <w:rPr>
          <w:rFonts w:ascii="Calibri" w:hAnsi="Calibri" w:cs="Calibri" w:asciiTheme="minorHAnsi" w:cstheme="minorHAnsi" w:hAnsiTheme="minorHAnsi"/>
          <w:sz w:val="20"/>
          <w:szCs w:val="20"/>
        </w:rPr>
      </w:pPr>
      <w:r>
        <w:rPr>
          <w:rFonts w:eastAsia="Times New Roman" w:cs="Calibri" w:ascii="Calibri" w:hAnsi="Calibri" w:asciiTheme="minorHAnsi" w:cstheme="minorHAnsi" w:hAnsiTheme="minorHAnsi"/>
          <w:b/>
          <w:bCs/>
          <w:sz w:val="20"/>
          <w:szCs w:val="20"/>
        </w:rPr>
        <w:t>MINISTÉRIO DA DEFESA</w:t>
      </w:r>
    </w:p>
    <w:p>
      <w:pPr>
        <w:pStyle w:val="Normal"/>
        <w:shd w:val="clear" w:color="auto" w:fill="FFFFFF" w:themeFill="background1"/>
        <w:ind w:left="142" w:hanging="0"/>
        <w:jc w:val="center"/>
        <w:rPr>
          <w:rFonts w:ascii="Calibri" w:hAnsi="Calibri" w:cs="Calibri" w:asciiTheme="minorHAnsi" w:cstheme="minorHAnsi" w:hAnsiTheme="minorHAnsi"/>
          <w:sz w:val="20"/>
          <w:szCs w:val="20"/>
        </w:rPr>
      </w:pPr>
      <w:r>
        <w:rPr>
          <w:rFonts w:eastAsia="Times New Roman" w:cs="Calibri" w:ascii="Calibri" w:hAnsi="Calibri" w:asciiTheme="minorHAnsi" w:cstheme="minorHAnsi" w:hAnsiTheme="minorHAnsi"/>
          <w:b/>
          <w:bCs/>
          <w:sz w:val="20"/>
          <w:szCs w:val="20"/>
        </w:rPr>
        <w:t>EXÉRCITO BRASILEIRO</w:t>
      </w:r>
    </w:p>
    <w:p>
      <w:pPr>
        <w:pStyle w:val="Normal"/>
        <w:shd w:val="clear" w:color="auto" w:fill="FFFFFF" w:themeFill="background1"/>
        <w:ind w:left="142" w:hanging="0"/>
        <w:jc w:val="center"/>
        <w:rPr>
          <w:rFonts w:ascii="Calibri" w:hAnsi="Calibri" w:cs="Calibri" w:asciiTheme="minorHAnsi" w:cstheme="minorHAnsi" w:hAnsiTheme="minorHAnsi"/>
          <w:sz w:val="20"/>
          <w:szCs w:val="20"/>
        </w:rPr>
      </w:pPr>
      <w:r>
        <w:rPr>
          <w:rFonts w:eastAsia="Times New Roman" w:cs="Calibri" w:ascii="Calibri" w:hAnsi="Calibri" w:asciiTheme="minorHAnsi" w:cstheme="minorHAnsi" w:hAnsiTheme="minorHAnsi"/>
          <w:b/>
          <w:bCs/>
          <w:sz w:val="20"/>
          <w:szCs w:val="20"/>
        </w:rPr>
        <w:t>COMANDO MILITAR DA AMAZÔNIA</w:t>
      </w:r>
    </w:p>
    <w:p>
      <w:pPr>
        <w:pStyle w:val="Normal"/>
        <w:shd w:val="clear" w:color="auto" w:fill="FFFFFF" w:themeFill="background1"/>
        <w:ind w:left="142" w:hanging="0"/>
        <w:jc w:val="center"/>
        <w:rPr>
          <w:rFonts w:ascii="Calibri" w:hAnsi="Calibri" w:cs="Calibri" w:asciiTheme="minorHAnsi" w:cstheme="minorHAnsi" w:hAnsiTheme="minorHAnsi"/>
          <w:sz w:val="20"/>
          <w:szCs w:val="20"/>
        </w:rPr>
      </w:pPr>
      <w:r>
        <w:rPr>
          <w:rFonts w:eastAsia="Times New Roman" w:cs="Calibri" w:ascii="Calibri" w:hAnsi="Calibri" w:asciiTheme="minorHAnsi" w:cstheme="minorHAnsi" w:hAnsiTheme="minorHAnsi"/>
          <w:b/>
          <w:bCs/>
          <w:sz w:val="20"/>
          <w:szCs w:val="20"/>
        </w:rPr>
        <w:t>COMANDO DO COMANDO MILITAR DA AMAZÔNIA</w:t>
      </w:r>
    </w:p>
    <w:p>
      <w:pPr>
        <w:pStyle w:val="Normal"/>
        <w:shd w:val="clear" w:color="auto" w:fill="FFFFFF" w:themeFill="background1"/>
        <w:ind w:left="142" w:hanging="0"/>
        <w:jc w:val="center"/>
        <w:rPr>
          <w:rFonts w:ascii="Calibri" w:hAnsi="Calibri" w:cs="Calibri" w:asciiTheme="minorHAnsi" w:cstheme="minorHAnsi" w:hAnsiTheme="minorHAnsi"/>
          <w:sz w:val="20"/>
          <w:szCs w:val="20"/>
        </w:rPr>
      </w:pPr>
      <w:r>
        <w:rPr>
          <w:rFonts w:eastAsia="Times New Roman" w:cs="Calibri" w:ascii="Calibri" w:hAnsi="Calibri" w:asciiTheme="minorHAnsi" w:cstheme="minorHAnsi" w:hAnsiTheme="minorHAnsi"/>
          <w:bCs/>
          <w:sz w:val="20"/>
          <w:szCs w:val="20"/>
        </w:rPr>
        <w:t>(Comando de Elementos de Fronteira – 1948)</w:t>
      </w:r>
    </w:p>
    <w:p>
      <w:pPr>
        <w:pStyle w:val="Normal"/>
        <w:shd w:val="clear" w:color="auto" w:fill="FFFFFF" w:themeFill="background1"/>
        <w:spacing w:lineRule="auto" w:line="312" w:before="120" w:after="288"/>
        <w:ind w:left="142" w:hanging="0"/>
        <w:jc w:val="both"/>
        <w:rPr>
          <w:rFonts w:ascii="Calibri" w:hAnsi="Calibri" w:eastAsia="Times New Roman" w:cs="Calibri" w:asciiTheme="minorHAnsi" w:cstheme="minorHAnsi" w:hAnsiTheme="minorHAnsi"/>
          <w:b/>
          <w:b/>
          <w:bCs/>
          <w:sz w:val="22"/>
        </w:rPr>
      </w:pPr>
      <w:r>
        <w:rPr>
          <w:rFonts w:eastAsia="Times New Roman" w:cs="Calibri" w:ascii="Calibri" w:hAnsi="Calibri" w:asciiTheme="minorHAnsi" w:cstheme="minorHAnsi" w:hAnsiTheme="minorHAnsi"/>
          <w:b/>
          <w:bCs/>
          <w:sz w:val="22"/>
        </w:rPr>
        <w:t>TERMO DE REFERÊNCIA</w:t>
      </w:r>
    </w:p>
    <w:p>
      <w:pPr>
        <w:pStyle w:val="Normal"/>
        <w:shd w:val="clear" w:color="auto" w:fill="FFFFFF" w:themeFill="background1"/>
        <w:tabs>
          <w:tab w:val="clear" w:pos="708"/>
          <w:tab w:val="left" w:pos="432" w:leader="none"/>
          <w:tab w:val="left" w:pos="1152" w:leader="none"/>
          <w:tab w:val="left" w:pos="1872" w:leader="none"/>
          <w:tab w:val="left" w:pos="2592" w:leader="none"/>
          <w:tab w:val="left" w:pos="3312" w:leader="none"/>
          <w:tab w:val="left" w:pos="4032" w:leader="none"/>
          <w:tab w:val="left" w:pos="4752" w:leader="none"/>
          <w:tab w:val="left" w:pos="5472" w:leader="none"/>
          <w:tab w:val="left" w:pos="6192" w:leader="none"/>
          <w:tab w:val="left" w:pos="6912" w:leader="none"/>
          <w:tab w:val="left" w:pos="7632" w:leader="none"/>
        </w:tabs>
        <w:ind w:left="142" w:hanging="0"/>
        <w:jc w:val="both"/>
        <w:rPr>
          <w:rFonts w:ascii="Calibri" w:hAnsi="Calibri" w:cs="Calibri" w:asciiTheme="minorHAnsi" w:cstheme="minorHAnsi" w:hAnsiTheme="minorHAnsi"/>
          <w:sz w:val="22"/>
        </w:rPr>
      </w:pPr>
      <w:r>
        <w:rPr>
          <w:rFonts w:cs="Calibri" w:ascii="Calibri" w:hAnsi="Calibri" w:asciiTheme="minorHAnsi" w:cstheme="minorHAnsi" w:hAnsiTheme="minorHAnsi"/>
          <w:sz w:val="22"/>
        </w:rPr>
        <w:t xml:space="preserve">(Processo Administrativo </w:t>
      </w:r>
      <w:r>
        <w:rPr>
          <w:rFonts w:cs="Calibri" w:ascii="Calibri" w:hAnsi="Calibri" w:asciiTheme="minorHAnsi" w:cstheme="minorHAnsi" w:hAnsiTheme="minorHAnsi"/>
          <w:b/>
          <w:sz w:val="22"/>
        </w:rPr>
        <w:t>Nr 64273.005713/2024-18</w:t>
      </w:r>
      <w:r>
        <w:rPr>
          <w:rFonts w:cs="Calibri" w:ascii="Calibri" w:hAnsi="Calibri" w:asciiTheme="minorHAnsi" w:cstheme="minorHAnsi" w:hAnsiTheme="minorHAnsi"/>
          <w:bCs/>
          <w:sz w:val="22"/>
        </w:rPr>
        <w:t>)</w:t>
      </w:r>
    </w:p>
    <w:p>
      <w:pPr>
        <w:pStyle w:val="Nivel01"/>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b w:val="false"/>
          <w:sz w:val="22"/>
          <w:szCs w:val="24"/>
        </w:rPr>
        <w:t xml:space="preserve"> </w:t>
      </w:r>
      <w:r>
        <w:rPr>
          <w:rFonts w:cs="Calibri" w:ascii="Calibri" w:hAnsi="Calibri" w:asciiTheme="minorHAnsi" w:cstheme="minorHAnsi" w:hAnsiTheme="minorHAnsi"/>
          <w:sz w:val="22"/>
          <w:szCs w:val="24"/>
        </w:rPr>
        <w:t>CONDIÇÕES GERAIS DA CONTRATAÇÃO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Aquisição</w:t>
      </w:r>
      <w:r>
        <w:rPr>
          <w:rFonts w:cs="Calibri" w:ascii="Calibri" w:hAnsi="Calibri" w:asciiTheme="minorHAnsi" w:cstheme="minorHAnsi" w:hAnsiTheme="minorHAnsi"/>
          <w:color w:val="auto"/>
          <w:sz w:val="22"/>
          <w:szCs w:val="24"/>
        </w:rPr>
        <w:t xml:space="preserve"> de serviços de comunicação visual composto pela confecção de pastas com lâminas contendo a logotipo do CMA,pastas de couro porta documentos,banner, pen drive, impressão de certificado, nos termos da tabela abaixo, conforme condições e exigências estabelecidas neste instrumento.</w:t>
      </w:r>
    </w:p>
    <w:tbl>
      <w:tblPr>
        <w:tblW w:w="10462" w:type="dxa"/>
        <w:jc w:val="left"/>
        <w:tblInd w:w="-289" w:type="dxa"/>
        <w:tblLayout w:type="fixed"/>
        <w:tblCellMar>
          <w:top w:w="0" w:type="dxa"/>
          <w:left w:w="108" w:type="dxa"/>
          <w:bottom w:w="0" w:type="dxa"/>
          <w:right w:w="108" w:type="dxa"/>
        </w:tblCellMar>
        <w:tblLook w:firstRow="1" w:noVBand="1" w:lastRow="0" w:firstColumn="1" w:lastColumn="0" w:noHBand="0" w:val="04a0"/>
      </w:tblPr>
      <w:tblGrid>
        <w:gridCol w:w="963"/>
        <w:gridCol w:w="3678"/>
        <w:gridCol w:w="1280"/>
        <w:gridCol w:w="850"/>
        <w:gridCol w:w="992"/>
        <w:gridCol w:w="1389"/>
        <w:gridCol w:w="1309"/>
      </w:tblGrid>
      <w:tr>
        <w:trPr>
          <w:trHeight w:val="775" w:hRule="atLeast"/>
        </w:trPr>
        <w:tc>
          <w:tcPr>
            <w:tcW w:w="963"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hemeFill="background1"/>
              <w:spacing w:before="120" w:after="288"/>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ITEM</w:t>
            </w:r>
          </w:p>
        </w:tc>
        <w:tc>
          <w:tcPr>
            <w:tcW w:w="3678"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hemeFill="background1"/>
              <w:spacing w:before="120" w:after="288"/>
              <w:ind w:left="142"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ESPECIFICAÇÃO</w:t>
            </w:r>
          </w:p>
        </w:tc>
        <w:tc>
          <w:tcPr>
            <w:tcW w:w="1280"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hemeFill="background1"/>
              <w:spacing w:before="120" w:after="288"/>
              <w:ind w:left="142"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CATSER</w:t>
            </w:r>
          </w:p>
        </w:tc>
        <w:tc>
          <w:tcPr>
            <w:tcW w:w="850"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hemeFill="background1"/>
              <w:spacing w:before="120" w:after="288"/>
              <w:ind w:left="142" w:right="57"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UN</w:t>
            </w:r>
          </w:p>
        </w:tc>
        <w:tc>
          <w:tcPr>
            <w:tcW w:w="992"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hemeFill="background1"/>
              <w:spacing w:before="120" w:after="288"/>
              <w:ind w:left="142"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QTDE</w:t>
            </w:r>
          </w:p>
        </w:tc>
        <w:tc>
          <w:tcPr>
            <w:tcW w:w="1389"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hemeFill="background1"/>
              <w:spacing w:before="120" w:after="288"/>
              <w:ind w:left="142"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VALOR UNITÁRIO</w:t>
            </w:r>
          </w:p>
        </w:tc>
        <w:tc>
          <w:tcPr>
            <w:tcW w:w="1309"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hemeFill="background1"/>
              <w:spacing w:before="120" w:after="288"/>
              <w:ind w:left="142"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b/>
                <w:bCs/>
                <w:sz w:val="22"/>
                <w:szCs w:val="22"/>
              </w:rPr>
              <w:t>VALOR TOTAL</w:t>
            </w:r>
          </w:p>
        </w:tc>
      </w:tr>
      <w:tr>
        <w:trPr>
          <w:trHeight w:val="2454" w:hRule="atLeast"/>
        </w:trPr>
        <w:tc>
          <w:tcPr>
            <w:tcW w:w="9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1</w:t>
            </w:r>
          </w:p>
        </w:tc>
        <w:tc>
          <w:tcPr>
            <w:tcW w:w="3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jc w:val="both"/>
              <w:rPr>
                <w:rFonts w:ascii="Calibri" w:hAnsi="Calibri" w:eastAsia="Arial1" w:cs="Calibri" w:asciiTheme="minorHAnsi" w:cstheme="minorHAnsi" w:hAnsiTheme="minorHAnsi"/>
                <w:sz w:val="22"/>
                <w:szCs w:val="22"/>
              </w:rPr>
            </w:pPr>
            <w:r>
              <w:rPr>
                <w:rFonts w:eastAsia="Arial1" w:cs="Calibri" w:ascii="Calibri" w:hAnsi="Calibri" w:asciiTheme="minorHAnsi" w:cstheme="minorHAnsi" w:hAnsiTheme="minorHAnsi"/>
                <w:sz w:val="22"/>
                <w:szCs w:val="22"/>
              </w:rPr>
              <w:t>confecção de pasta com laminação e brilho na parte externa, contendo logo do cma (organização militar) e sua nomeclatura, medindo 32x23cm, confeccionada em papel triplex e 01 bolso interno, personalizada com gravação do logo institucional e colorido, gramatura 280gm. arte fornecida pela seção requisitante</w:t>
            </w:r>
          </w:p>
          <w:p>
            <w:pPr>
              <w:pStyle w:val="LONormal"/>
              <w:widowControl w:val="false"/>
              <w:shd w:val="clear" w:color="auto" w:fill="FFFFFF" w:themeFill="background1"/>
              <w:suppressAutoHyphens w:val="false"/>
              <w:ind w:left="142" w:hanging="0"/>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uppressAutoHyphens w:val="false"/>
              <w:spacing w:lineRule="auto" w:line="480"/>
              <w:ind w:left="142" w:hanging="0"/>
              <w:jc w:val="both"/>
              <w:rPr>
                <w:rFonts w:ascii="Calibri" w:hAnsi="Calibri" w:eastAsia="SimSun" w:cs="Calibri" w:asciiTheme="minorHAnsi" w:cstheme="minorHAnsi" w:hAnsiTheme="minorHAnsi"/>
                <w:sz w:val="22"/>
                <w:szCs w:val="22"/>
                <w:lang w:bidi="hi-IN"/>
              </w:rPr>
            </w:pPr>
            <w:r>
              <w:rPr>
                <w:rFonts w:eastAsia="SimSun" w:cs="Calibri" w:ascii="Calibri" w:hAnsi="Calibri" w:asciiTheme="minorHAnsi" w:cstheme="minorHAnsi" w:hAnsiTheme="minorHAnsi"/>
                <w:sz w:val="22"/>
                <w:szCs w:val="22"/>
                <w:lang w:bidi="hi-IN"/>
              </w:rPr>
              <w:t>12904</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57"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UN</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113"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80</w:t>
            </w:r>
          </w:p>
        </w:tc>
        <w:tc>
          <w:tcPr>
            <w:tcW w:w="13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57"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R$ 1,93</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57"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R$ 154,40</w:t>
            </w:r>
          </w:p>
        </w:tc>
      </w:tr>
      <w:tr>
        <w:trPr/>
        <w:tc>
          <w:tcPr>
            <w:tcW w:w="9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w:t>
            </w:r>
          </w:p>
        </w:tc>
        <w:tc>
          <w:tcPr>
            <w:tcW w:w="3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Calibri" w:hAnsi="Calibri" w:eastAsia="Arial1" w:cs="Calibri" w:asciiTheme="minorHAnsi" w:cstheme="minorHAnsi" w:hAnsiTheme="minorHAnsi"/>
                <w:sz w:val="22"/>
                <w:szCs w:val="22"/>
              </w:rPr>
            </w:pPr>
            <w:r>
              <w:rPr>
                <w:rFonts w:cs="Calibri" w:ascii="Calibri" w:hAnsi="Calibri" w:asciiTheme="minorHAnsi" w:cstheme="minorHAnsi" w:hAnsiTheme="minorHAnsi"/>
                <w:bCs/>
                <w:sz w:val="22"/>
                <w:szCs w:val="22"/>
              </w:rPr>
              <w:t>banner em impressão digital colorida 4x0 cores, em lona de 440g, com acabamento em baguete de madeira ou alumínio e ponteira. resolução mínima de 1.440 dpi. tamanho: 1,20 x 1m largura. arte fornecida 50 pela seção requisitante.</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uppressAutoHyphens w:val="false"/>
              <w:spacing w:lineRule="auto" w:line="480"/>
              <w:ind w:left="142" w:hanging="0"/>
              <w:rPr>
                <w:rFonts w:ascii="Calibri" w:hAnsi="Calibri" w:eastAsia="SimSun" w:cs="Calibri" w:asciiTheme="minorHAnsi" w:cstheme="minorHAnsi" w:hAnsiTheme="minorHAnsi"/>
                <w:sz w:val="22"/>
                <w:szCs w:val="22"/>
                <w:lang w:bidi="hi-IN"/>
              </w:rPr>
            </w:pPr>
            <w:r>
              <w:rPr>
                <w:rFonts w:eastAsia="SimSun" w:cs="Calibri" w:ascii="Calibri" w:hAnsi="Calibri" w:asciiTheme="minorHAnsi" w:cstheme="minorHAnsi" w:hAnsiTheme="minorHAnsi"/>
                <w:sz w:val="22"/>
                <w:szCs w:val="22"/>
                <w:lang w:bidi="hi-IN"/>
              </w:rPr>
              <w:t>17353</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57"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UN</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w:t>
            </w:r>
          </w:p>
        </w:tc>
        <w:tc>
          <w:tcPr>
            <w:tcW w:w="13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R$ 32,90</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R$ 131,60</w:t>
            </w:r>
          </w:p>
        </w:tc>
      </w:tr>
      <w:tr>
        <w:trPr/>
        <w:tc>
          <w:tcPr>
            <w:tcW w:w="9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3</w:t>
            </w:r>
          </w:p>
        </w:tc>
        <w:tc>
          <w:tcPr>
            <w:tcW w:w="3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Calibri" w:hAnsi="Calibri" w:cs="Calibri" w:asciiTheme="minorHAnsi" w:cstheme="minorHAnsi" w:hAnsiTheme="minorHAnsi"/>
                <w:color w:val="000000"/>
                <w:sz w:val="22"/>
                <w:szCs w:val="22"/>
              </w:rPr>
            </w:pPr>
            <w:r>
              <w:rPr>
                <w:rStyle w:val="Fontstyle01"/>
                <w:rFonts w:cs="Calibri" w:ascii="Calibri" w:hAnsi="Calibri" w:asciiTheme="minorHAnsi" w:cstheme="minorHAnsi" w:hAnsiTheme="minorHAnsi"/>
                <w:sz w:val="22"/>
                <w:szCs w:val="22"/>
              </w:rPr>
              <w:t>serviço de policromia. confecção e impressão de certificado de conclusão de cu rso ou estágio. tamanho: a4. em papel vergê, 180 gr, 4x4 cores. a arte seráfo rnecida pela requisitante.</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uppressAutoHyphens w:val="false"/>
              <w:spacing w:lineRule="auto" w:line="360"/>
              <w:ind w:left="142" w:hanging="0"/>
              <w:rPr>
                <w:rFonts w:ascii="Calibri" w:hAnsi="Calibri" w:eastAsia="SimSun" w:cs="Calibri" w:asciiTheme="minorHAnsi" w:cstheme="minorHAnsi" w:hAnsiTheme="minorHAnsi"/>
                <w:sz w:val="22"/>
                <w:szCs w:val="22"/>
                <w:lang w:bidi="hi-IN"/>
              </w:rPr>
            </w:pPr>
            <w:r>
              <w:rPr>
                <w:rFonts w:eastAsia="SimSun" w:cs="Calibri" w:ascii="Calibri" w:hAnsi="Calibri" w:asciiTheme="minorHAnsi" w:cstheme="minorHAnsi" w:hAnsiTheme="minorHAnsi"/>
                <w:sz w:val="22"/>
                <w:szCs w:val="22"/>
                <w:lang w:bidi="hi-IN"/>
              </w:rPr>
              <w:t>17353</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57"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UN</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22</w:t>
            </w:r>
          </w:p>
        </w:tc>
        <w:tc>
          <w:tcPr>
            <w:tcW w:w="13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R$ 1,95</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R$ 42,90</w:t>
            </w:r>
          </w:p>
        </w:tc>
      </w:tr>
      <w:tr>
        <w:trPr/>
        <w:tc>
          <w:tcPr>
            <w:tcW w:w="9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4</w:t>
            </w:r>
          </w:p>
        </w:tc>
        <w:tc>
          <w:tcPr>
            <w:tcW w:w="3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both"/>
              <w:rPr>
                <w:rFonts w:ascii="Calibri" w:hAnsi="Calibri" w:cs="Calibri" w:asciiTheme="minorHAnsi" w:cstheme="minorHAnsi" w:hAnsiTheme="minorHAnsi"/>
                <w:color w:val="000000"/>
                <w:sz w:val="22"/>
                <w:szCs w:val="22"/>
              </w:rPr>
            </w:pPr>
            <w:r>
              <w:rPr>
                <w:rStyle w:val="Fontstyle01"/>
                <w:rFonts w:cs="Calibri" w:ascii="Calibri" w:hAnsi="Calibri" w:asciiTheme="minorHAnsi" w:cstheme="minorHAnsi" w:hAnsiTheme="minorHAnsi"/>
                <w:sz w:val="22"/>
                <w:szCs w:val="22"/>
              </w:rPr>
              <w:t>pen drive de plástico rígido, com impressão digital (uv) dos dois lados com o logo do cma, capacidade para 8 gb. dimensões: 85,0 x 50,0 x 5,0 mm. área de gravação para seu logo: 85 x 50 mm</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uppressAutoHyphens w:val="false"/>
              <w:spacing w:lineRule="auto" w:line="480"/>
              <w:ind w:left="142" w:hanging="0"/>
              <w:rPr>
                <w:rFonts w:ascii="Calibri" w:hAnsi="Calibri" w:eastAsia="SimSun" w:cs="Calibri" w:asciiTheme="minorHAnsi" w:cstheme="minorHAnsi" w:hAnsiTheme="minorHAnsi"/>
                <w:sz w:val="22"/>
                <w:szCs w:val="22"/>
                <w:lang w:bidi="hi-IN"/>
              </w:rPr>
            </w:pPr>
            <w:r>
              <w:rPr>
                <w:rFonts w:cs="Calibri" w:ascii="Calibri" w:hAnsi="Calibri" w:asciiTheme="minorHAnsi" w:cstheme="minorHAnsi" w:hAnsiTheme="minorHAnsi"/>
                <w:sz w:val="22"/>
                <w:szCs w:val="22"/>
              </w:rPr>
              <w:t>17353</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57"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UN</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30</w:t>
            </w:r>
          </w:p>
        </w:tc>
        <w:tc>
          <w:tcPr>
            <w:tcW w:w="13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R$ 25,50</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R$ 765,00</w:t>
            </w:r>
          </w:p>
        </w:tc>
      </w:tr>
      <w:tr>
        <w:trPr/>
        <w:tc>
          <w:tcPr>
            <w:tcW w:w="96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jc w:val="center"/>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5</w:t>
            </w:r>
          </w:p>
        </w:tc>
        <w:tc>
          <w:tcPr>
            <w:tcW w:w="36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jc w:val="both"/>
              <w:rPr>
                <w:rFonts w:ascii="Calibri" w:hAnsi="Calibri" w:cs="Calibri" w:asciiTheme="minorHAnsi" w:cstheme="minorHAnsi" w:hAnsiTheme="minorHAnsi"/>
                <w:color w:val="000000"/>
                <w:sz w:val="22"/>
                <w:szCs w:val="22"/>
              </w:rPr>
            </w:pPr>
            <w:r>
              <w:rPr>
                <w:rStyle w:val="Fontstyle01"/>
                <w:rFonts w:cs="Calibri" w:ascii="Calibri" w:hAnsi="Calibri" w:asciiTheme="minorHAnsi" w:cstheme="minorHAnsi" w:hAnsiTheme="minorHAnsi"/>
                <w:sz w:val="22"/>
                <w:szCs w:val="22"/>
              </w:rPr>
              <w:t>confecção de pasta em couro para documentos a4. com fechamento em zíper. espa ço para canetas. bolsa interna tamanho A5. impressão de logo em baixo</w:t>
            </w:r>
            <w:r>
              <w:rPr>
                <w:rFonts w:cs="Calibri" w:ascii="Calibri" w:hAnsi="Calibri" w:asciiTheme="minorHAnsi" w:cstheme="minorHAnsi" w:hAnsiTheme="minorHAnsi"/>
                <w:bCs/>
                <w:sz w:val="22"/>
                <w:szCs w:val="22"/>
              </w:rPr>
              <w:br/>
            </w:r>
            <w:r>
              <w:rPr>
                <w:rStyle w:val="Fontstyle01"/>
                <w:rFonts w:cs="Calibri" w:ascii="Calibri" w:hAnsi="Calibri" w:asciiTheme="minorHAnsi" w:cstheme="minorHAnsi" w:hAnsiTheme="minorHAnsi"/>
                <w:sz w:val="22"/>
                <w:szCs w:val="22"/>
              </w:rPr>
              <w:t>relevo, confecção de pasta executiva a4 em nylon tecido simulando tecido com fechament o magnético e placa de metal com acabamento emborrachado. possui</w:t>
            </w:r>
            <w:r>
              <w:rPr>
                <w:rFonts w:cs="Calibri" w:ascii="Calibri" w:hAnsi="Calibri" w:asciiTheme="minorHAnsi" w:cstheme="minorHAnsi" w:hAnsiTheme="minorHAnsi"/>
                <w:bCs/>
                <w:sz w:val="22"/>
                <w:szCs w:val="22"/>
              </w:rPr>
              <w:br/>
            </w:r>
            <w:r>
              <w:rPr>
                <w:rStyle w:val="Fontstyle01"/>
                <w:rFonts w:cs="Calibri" w:ascii="Calibri" w:hAnsi="Calibri" w:asciiTheme="minorHAnsi" w:cstheme="minorHAnsi" w:hAnsiTheme="minorHAnsi"/>
                <w:sz w:val="22"/>
                <w:szCs w:val="22"/>
              </w:rPr>
              <w:t>20 folhas pa u tadas com calendário mensal e semanal. 2 compartimentos para cartões, porta documentos, compartimento para celular e</w:t>
            </w:r>
            <w:r>
              <w:rPr>
                <w:rFonts w:cs="Calibri" w:ascii="Calibri" w:hAnsi="Calibri" w:asciiTheme="minorHAnsi" w:cstheme="minorHAnsi" w:hAnsiTheme="minorHAnsi"/>
                <w:bCs/>
                <w:sz w:val="22"/>
                <w:szCs w:val="22"/>
              </w:rPr>
              <w:br/>
            </w:r>
            <w:r>
              <w:rPr>
                <w:rStyle w:val="Fontstyle01"/>
                <w:rFonts w:cs="Calibri" w:ascii="Calibri" w:hAnsi="Calibri" w:asciiTheme="minorHAnsi" w:cstheme="minorHAnsi" w:hAnsiTheme="minorHAnsi"/>
                <w:sz w:val="22"/>
                <w:szCs w:val="22"/>
              </w:rPr>
              <w:t>objetos. pasta confeccionada em couro, cor preta, com dois bolsos internos para armazen amento de papel tamanho a4, porta-caneta e porta-cartão. fechamento externo por fecho, no sentido vertical. dimensões: 33,0cm x 25,0cm x 0,50cm. impressão d o ´brasão do exército ou do logo da oM, na capa, nas</w:t>
            </w:r>
            <w:r>
              <w:rPr>
                <w:rFonts w:cs="Calibri" w:ascii="Calibri" w:hAnsi="Calibri" w:asciiTheme="minorHAnsi" w:cstheme="minorHAnsi" w:hAnsiTheme="minorHAnsi"/>
                <w:bCs/>
                <w:sz w:val="22"/>
                <w:szCs w:val="22"/>
              </w:rPr>
              <w:br/>
            </w:r>
            <w:r>
              <w:rPr>
                <w:rStyle w:val="Fontstyle01"/>
                <w:rFonts w:cs="Calibri" w:ascii="Calibri" w:hAnsi="Calibri" w:asciiTheme="minorHAnsi" w:cstheme="minorHAnsi" w:hAnsiTheme="minorHAnsi"/>
                <w:sz w:val="22"/>
                <w:szCs w:val="22"/>
              </w:rPr>
              <w:t>dimensões 50mm x 38mm. pr ocesso de gravação ´hot stamping´, tipo ´venissage´. arte fornecida pela seção requisitante.</w:t>
            </w:r>
          </w:p>
        </w:tc>
        <w:tc>
          <w:tcPr>
            <w:tcW w:w="12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uppressAutoHyphens w:val="false"/>
              <w:spacing w:lineRule="auto" w:line="480"/>
              <w:ind w:left="142" w:hanging="0"/>
              <w:rPr>
                <w:rFonts w:ascii="Calibri" w:hAnsi="Calibri" w:eastAsia="SimSun" w:cs="Calibri" w:asciiTheme="minorHAnsi" w:cstheme="minorHAnsi" w:hAnsiTheme="minorHAnsi"/>
                <w:sz w:val="22"/>
                <w:szCs w:val="22"/>
                <w:lang w:bidi="hi-IN"/>
              </w:rPr>
            </w:pPr>
            <w:r>
              <w:rPr>
                <w:rFonts w:eastAsia="SimSun" w:cs="Calibri" w:ascii="Calibri" w:hAnsi="Calibri" w:asciiTheme="minorHAnsi" w:cstheme="minorHAnsi" w:hAnsiTheme="minorHAnsi"/>
                <w:sz w:val="22"/>
                <w:szCs w:val="22"/>
                <w:lang w:bidi="hi-IN"/>
              </w:rPr>
              <w:t>17353</w:t>
            </w:r>
          </w:p>
        </w:tc>
        <w:tc>
          <w:tcPr>
            <w:tcW w:w="85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60" w:before="120" w:after="288"/>
              <w:ind w:left="142" w:right="57" w:hanging="0"/>
              <w:jc w:val="both"/>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UN</w:t>
            </w:r>
          </w:p>
        </w:tc>
        <w:tc>
          <w:tcPr>
            <w:tcW w:w="99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113"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8</w:t>
            </w:r>
          </w:p>
        </w:tc>
        <w:tc>
          <w:tcPr>
            <w:tcW w:w="138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R$ 70,00</w:t>
            </w:r>
          </w:p>
        </w:tc>
        <w:tc>
          <w:tcPr>
            <w:tcW w:w="130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hd w:val="clear" w:color="auto" w:fill="FFFFFF" w:themeFill="background1"/>
              <w:spacing w:lineRule="auto" w:line="312" w:before="120" w:after="288"/>
              <w:ind w:left="142" w:right="57"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R$ 560,00</w:t>
            </w:r>
            <w:bookmarkStart w:id="0" w:name="_GoBack"/>
            <w:bookmarkEnd w:id="0"/>
          </w:p>
        </w:tc>
      </w:tr>
    </w:tbl>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O prazo de vigência da contratação é de 30 dias contados do recebimento da nota de empenho, na forma do artigo 105 da Lei n° 14.133, de 2021.</w:t>
      </w:r>
    </w:p>
    <w:p>
      <w:pPr>
        <w:pStyle w:val="Nivel01"/>
        <w:numPr>
          <w:ilvl w:val="0"/>
          <w:numId w:val="2"/>
        </w:numPr>
        <w:shd w:val="clear" w:color="auto" w:fill="FFFFFF" w:themeFill="background1"/>
        <w:ind w:left="142" w:hanging="36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FUNDAMENTAÇÃO E DESCRIÇÃO DA NECESSIDADE DA CONTRATAÇÃO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A Fundamentação da Contratação e de seus quantitativos encontra-se pormenorizada em tópico específico dos Estudos Técnicos Preliminares, apêndice deste Termo de Referência.</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O objeto da contratação está previsto no Plano de Contratações Anual 2024, conforme consta das informações básicas deste termo de referência.</w:t>
      </w:r>
    </w:p>
    <w:p>
      <w:pPr>
        <w:pStyle w:val="Nivel01"/>
        <w:numPr>
          <w:ilvl w:val="0"/>
          <w:numId w:val="2"/>
        </w:numPr>
        <w:shd w:val="clear" w:color="auto" w:fill="FFFFFF" w:themeFill="background1"/>
        <w:ind w:left="142" w:hanging="36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DESCRIÇÃO DA SOLUÇÃO COMO UM TODO CONSIDERADO O CICLO DE VIDA DO OBJETO</w:t>
      </w:r>
    </w:p>
    <w:p>
      <w:pPr>
        <w:pStyle w:val="Nvel2Red"/>
        <w:numPr>
          <w:ilvl w:val="1"/>
          <w:numId w:val="2"/>
        </w:numPr>
        <w:shd w:val="clear" w:color="auto" w:fill="FFFFFF" w:themeFill="background1"/>
        <w:ind w:left="142" w:hanging="573"/>
        <w:rPr>
          <w:rFonts w:ascii="Calibri" w:hAnsi="Calibri" w:cs="Calibri" w:asciiTheme="minorHAnsi" w:cstheme="minorHAnsi" w:hAnsiTheme="minorHAnsi"/>
          <w:color w:val="auto"/>
          <w:sz w:val="22"/>
          <w:szCs w:val="24"/>
        </w:rPr>
      </w:pPr>
      <w:bookmarkStart w:id="1" w:name="_Ref121236534"/>
      <w:r>
        <w:rPr>
          <w:rFonts w:cs="Calibri" w:ascii="Calibri" w:hAnsi="Calibri" w:asciiTheme="minorHAnsi" w:cstheme="minorHAnsi" w:hAnsiTheme="minorHAnsi"/>
          <w:color w:val="auto"/>
          <w:sz w:val="22"/>
          <w:szCs w:val="24"/>
        </w:rPr>
        <w:t>A descrição da solução como um todo encontra-se pormenorizada em tópico específico dos Estudos Técnicos Preliminares, apêndice deste Termo de Referência.</w:t>
      </w:r>
      <w:bookmarkEnd w:id="1"/>
    </w:p>
    <w:p>
      <w:pPr>
        <w:pStyle w:val="Nvel2Red"/>
        <w:numPr>
          <w:ilvl w:val="0"/>
          <w:numId w:val="0"/>
        </w:numPr>
        <w:shd w:val="clear" w:color="auto" w:fill="FFFFFF" w:themeFill="background1"/>
        <w:ind w:left="142"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REQUISITOS DA CONTRATAÇÃO</w:t>
      </w:r>
    </w:p>
    <w:p>
      <w:pPr>
        <w:pStyle w:val="Nvel01SemNumerao"/>
        <w:shd w:val="clear" w:color="auto" w:fill="FFFFFF" w:themeFill="background1"/>
        <w:ind w:left="142" w:hanging="0"/>
        <w:rPr>
          <w:rFonts w:ascii="Calibri" w:hAnsi="Calibri" w:cs="Calibri" w:asciiTheme="minorHAnsi" w:cstheme="minorHAnsi" w:hAnsiTheme="minorHAnsi"/>
          <w:b w:val="false"/>
          <w:b w:val="false"/>
          <w:bCs w:val="false"/>
          <w:color w:val="auto"/>
          <w:sz w:val="22"/>
          <w:szCs w:val="22"/>
        </w:rPr>
      </w:pPr>
      <w:r>
        <w:rPr>
          <w:rFonts w:cs="Calibri" w:ascii="Calibri" w:hAnsi="Calibri" w:asciiTheme="minorHAnsi" w:cstheme="minorHAnsi" w:hAnsiTheme="minorHAnsi"/>
          <w:color w:val="auto"/>
          <w:sz w:val="22"/>
          <w:szCs w:val="22"/>
        </w:rPr>
        <w:t xml:space="preserve"> </w:t>
      </w:r>
      <w:r>
        <w:rPr>
          <w:rFonts w:cs="Calibri" w:ascii="Calibri" w:hAnsi="Calibri" w:asciiTheme="minorHAnsi" w:cstheme="minorHAnsi" w:hAnsiTheme="minorHAnsi"/>
          <w:b w:val="false"/>
          <w:bCs w:val="false"/>
          <w:color w:val="auto"/>
          <w:sz w:val="22"/>
          <w:szCs w:val="22"/>
        </w:rPr>
        <w:t>Além dos critérios de sustentabilidade eventualmente inseridos na descrição do objeto, devem ser atendidos os seguintes requisitos, que se baseiam no Guia Nacional de Contratações Sustentáveis:</w:t>
      </w:r>
    </w:p>
    <w:p>
      <w:pPr>
        <w:pStyle w:val="Nvel3R"/>
        <w:numPr>
          <w:ilvl w:val="2"/>
          <w:numId w:val="2"/>
        </w:numPr>
        <w:shd w:val="clear" w:color="auto" w:fill="FFFFFF" w:themeFill="background1"/>
        <w:ind w:left="142" w:hanging="0"/>
        <w:rPr>
          <w:rStyle w:val="Fontstyle01"/>
          <w:rFonts w:ascii="Calibri" w:hAnsi="Calibri" w:cs="Calibri" w:asciiTheme="minorHAnsi" w:cstheme="minorHAnsi" w:hAnsiTheme="minorHAnsi"/>
          <w:i w:val="false"/>
          <w:i w:val="false"/>
          <w:iCs w:val="false"/>
          <w:color w:val="auto"/>
          <w:sz w:val="22"/>
          <w:szCs w:val="22"/>
        </w:rPr>
      </w:pPr>
      <w:r>
        <w:rPr>
          <w:rStyle w:val="Fontstyle01"/>
          <w:rFonts w:cs="Calibri" w:ascii="Calibri" w:hAnsi="Calibri" w:asciiTheme="minorHAnsi" w:cstheme="minorHAnsi" w:hAnsiTheme="minorHAnsi"/>
          <w:i w:val="false"/>
          <w:iCs w:val="false"/>
          <w:color w:val="auto"/>
          <w:sz w:val="22"/>
          <w:szCs w:val="22"/>
        </w:rPr>
        <w:t>Os critérios de sustentabilidade são aqueles previstos nas especificações do objeto e/ou obrigações da contratada e/ou no edital como requisito previsto em lei especial.</w:t>
      </w:r>
    </w:p>
    <w:p>
      <w:pPr>
        <w:pStyle w:val="Nvel3R"/>
        <w:numPr>
          <w:ilvl w:val="0"/>
          <w:numId w:val="0"/>
        </w:numPr>
        <w:shd w:val="clear" w:color="auto" w:fill="FFFFFF" w:themeFill="background1"/>
        <w:ind w:left="142" w:hanging="0"/>
        <w:rPr>
          <w:rStyle w:val="Fontstyle01"/>
          <w:rFonts w:ascii="Calibri" w:hAnsi="Calibri" w:cs="Calibri" w:asciiTheme="minorHAnsi" w:cstheme="minorHAnsi" w:hAnsiTheme="minorHAnsi"/>
          <w:i w:val="false"/>
          <w:i w:val="false"/>
          <w:iCs w:val="false"/>
          <w:color w:val="auto"/>
          <w:sz w:val="22"/>
          <w:szCs w:val="22"/>
        </w:rPr>
      </w:pPr>
      <w:r>
        <w:rPr>
          <w:rFonts w:cs="Calibri" w:cstheme="minorHAnsi" w:ascii="Calibri" w:hAnsi="Calibri"/>
          <w:i w:val="false"/>
          <w:iCs w:val="false"/>
          <w:color w:val="auto"/>
          <w:sz w:val="22"/>
          <w:szCs w:val="22"/>
        </w:rPr>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Subcontratação: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Não é admitida a subcontratação do objeto contratual.</w:t>
      </w:r>
    </w:p>
    <w:p>
      <w:pPr>
        <w:pStyle w:val="Ou"/>
        <w:shd w:val="clear" w:color="auto" w:fill="FFFFFF" w:themeFill="background1"/>
        <w:ind w:left="142" w:hanging="0"/>
        <w:jc w:val="both"/>
        <w:rPr>
          <w:rFonts w:ascii="Calibri" w:hAnsi="Calibri" w:cs="Calibri" w:asciiTheme="minorHAnsi" w:cstheme="minorHAnsi" w:hAnsiTheme="minorHAnsi"/>
          <w:i w:val="false"/>
          <w:i w:val="false"/>
          <w:iCs w:val="false"/>
          <w:color w:val="auto"/>
          <w:sz w:val="22"/>
          <w:szCs w:val="22"/>
        </w:rPr>
      </w:pPr>
      <w:r>
        <w:rPr>
          <w:rFonts w:cs="Calibri" w:cstheme="minorHAnsi" w:ascii="Calibri" w:hAnsi="Calibri"/>
          <w:i w:val="false"/>
          <w:iCs w:val="false"/>
          <w:color w:val="auto"/>
          <w:sz w:val="22"/>
          <w:szCs w:val="22"/>
        </w:rPr>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Garantia da contratação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Não haverá exigência da garantia da contratação dos </w:t>
      </w:r>
      <w:r>
        <w:fldChar w:fldCharType="begin"/>
      </w:r>
      <w:r>
        <w:rPr>
          <w:sz w:val="22"/>
          <w:szCs w:val="22"/>
          <w:rFonts w:cs="Calibri" w:ascii="Calibri" w:hAnsi="Calibri"/>
          <w:color w:val="auto"/>
        </w:rPr>
        <w:instrText> HYPERLINK "http://www.planalto.gov.br/ccivil_03/_ato2019-2022/2021/lei/L14133.htm" \l "art96"</w:instrText>
      </w:r>
      <w:r>
        <w:rPr>
          <w:sz w:val="22"/>
          <w:szCs w:val="22"/>
          <w:rFonts w:cs="Calibri" w:ascii="Calibri" w:hAnsi="Calibri"/>
          <w:color w:val="auto"/>
        </w:rPr>
        <w:fldChar w:fldCharType="separate"/>
      </w:r>
      <w:r>
        <w:rPr>
          <w:rFonts w:cs="Calibri" w:ascii="Calibri" w:hAnsi="Calibri" w:asciiTheme="minorHAnsi" w:cstheme="minorHAnsi" w:hAnsiTheme="minorHAnsi"/>
          <w:color w:val="auto"/>
          <w:sz w:val="22"/>
          <w:szCs w:val="22"/>
        </w:rPr>
        <w:t>artigos 96 e seguintes da Lei nº 14.133, de 2021</w:t>
      </w:r>
      <w:r>
        <w:rPr>
          <w:sz w:val="22"/>
          <w:szCs w:val="22"/>
          <w:rFonts w:cs="Calibri" w:ascii="Calibri" w:hAnsi="Calibri"/>
          <w:color w:val="auto"/>
        </w:rPr>
        <w:fldChar w:fldCharType="end"/>
      </w:r>
      <w:r>
        <w:rPr>
          <w:rFonts w:cs="Calibri" w:ascii="Calibri" w:hAnsi="Calibri" w:asciiTheme="minorHAnsi" w:cstheme="minorHAnsi" w:hAnsiTheme="minorHAnsi"/>
          <w:color w:val="auto"/>
          <w:sz w:val="22"/>
          <w:szCs w:val="22"/>
        </w:rPr>
        <w:t>, pelas razões constantes do Estudo Técnico Preliminar.</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Vistoria</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Não há necessidade de realização de avaliação prévia do local de execução dos serviços.</w:t>
      </w:r>
    </w:p>
    <w:p>
      <w:pPr>
        <w:pStyle w:val="Nvel2Red"/>
        <w:numPr>
          <w:ilvl w:val="0"/>
          <w:numId w:val="0"/>
        </w:numPr>
        <w:shd w:val="clear" w:color="auto" w:fill="FFFFFF" w:themeFill="background1"/>
        <w:ind w:left="142" w:hanging="0"/>
        <w:rPr>
          <w:rFonts w:ascii="Calibri" w:hAnsi="Calibri" w:cs="Calibri" w:asciiTheme="minorHAnsi" w:cstheme="minorHAnsi" w:hAnsiTheme="minorHAnsi"/>
          <w:color w:val="auto"/>
          <w:sz w:val="22"/>
          <w:szCs w:val="22"/>
          <w:lang w:eastAsia="en-US"/>
        </w:rPr>
      </w:pPr>
      <w:r>
        <w:rPr>
          <w:rFonts w:cs="Calibri" w:cstheme="minorHAnsi" w:ascii="Calibri" w:hAnsi="Calibri"/>
          <w:color w:val="auto"/>
          <w:sz w:val="22"/>
          <w:szCs w:val="22"/>
          <w:lang w:eastAsia="en-US"/>
        </w:rPr>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MODELO DE EXECUÇÃO DO OBJETO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A execução do objeto seguirá a seguinte dinâmica:</w:t>
      </w:r>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2"/>
        </w:rPr>
      </w:pPr>
      <w:r>
        <w:rPr>
          <w:rFonts w:cs="Calibri" w:ascii="Calibri" w:hAnsi="Calibri" w:asciiTheme="minorHAnsi" w:cstheme="minorHAnsi" w:hAnsiTheme="minorHAnsi"/>
          <w:i w:val="false"/>
          <w:iCs w:val="false"/>
          <w:color w:val="auto"/>
          <w:sz w:val="22"/>
          <w:szCs w:val="22"/>
        </w:rPr>
        <w:t>Início da execução do objeto: 2 (dois) dias do recebimento da nota de empenho.</w:t>
      </w:r>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2"/>
        </w:rPr>
      </w:pPr>
      <w:r>
        <w:rPr>
          <w:rFonts w:cs="Calibri" w:ascii="Calibri" w:hAnsi="Calibri" w:asciiTheme="minorHAnsi" w:cstheme="minorHAnsi" w:hAnsiTheme="minorHAnsi"/>
          <w:i w:val="false"/>
          <w:iCs w:val="false"/>
          <w:color w:val="auto"/>
          <w:sz w:val="22"/>
          <w:szCs w:val="22"/>
        </w:rPr>
        <w:t>Descrição detalhada dos métodos, rotinas, etapas, tecnologias procedimentos, frequência e periodicidade de execução do trabalho: (...)</w:t>
      </w:r>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2"/>
        </w:rPr>
      </w:pPr>
      <w:r>
        <w:rPr>
          <w:rFonts w:cs="Calibri" w:ascii="Calibri" w:hAnsi="Calibri" w:asciiTheme="minorHAnsi" w:cstheme="minorHAnsi" w:hAnsiTheme="minorHAnsi"/>
          <w:i w:val="false"/>
          <w:iCs w:val="false"/>
          <w:color w:val="auto"/>
          <w:sz w:val="22"/>
          <w:szCs w:val="22"/>
        </w:rPr>
        <w:t>Cronograma de realização dos serviços:</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Local e horário da prestação dos serviços</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Os serviços serão prestados no seguinte endereço Avenida dos Expedicionários, 4715 - Ponta Negra, Manaus - AM, 69037-000</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Os serviços serão prestados no seguinte horário: das 09:00h às 16:00h.</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Especificação da garantia do serviço (art. 40, §1º, inciso III, da Lei nº 14.133, de 2021)</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 prazo de garantia contratual dos serviços é aquele estabelecido na Lei nº 8.078, de 11 de setembro de 1990 (Código de Defesa do Consumidor).</w:t>
      </w:r>
    </w:p>
    <w:p>
      <w:pPr>
        <w:pStyle w:val="Ou"/>
        <w:shd w:val="clear" w:color="auto" w:fill="FFFFFF" w:themeFill="background1"/>
        <w:ind w:left="142" w:hanging="0"/>
        <w:jc w:val="both"/>
        <w:rPr>
          <w:rFonts w:ascii="Calibri" w:hAnsi="Calibri" w:cs="Calibri" w:asciiTheme="minorHAnsi" w:cstheme="minorHAnsi" w:hAnsiTheme="minorHAnsi"/>
          <w:i w:val="false"/>
          <w:i w:val="false"/>
          <w:iCs w:val="false"/>
          <w:color w:val="auto"/>
          <w:sz w:val="22"/>
          <w:szCs w:val="22"/>
        </w:rPr>
      </w:pPr>
      <w:r>
        <w:rPr>
          <w:rFonts w:cs="Calibri" w:cstheme="minorHAnsi" w:ascii="Calibri" w:hAnsi="Calibri"/>
          <w:i w:val="false"/>
          <w:iCs w:val="false"/>
          <w:color w:val="auto"/>
          <w:sz w:val="22"/>
          <w:szCs w:val="22"/>
        </w:rPr>
      </w:r>
    </w:p>
    <w:p>
      <w:pPr>
        <w:pStyle w:val="Nvel1SemNum"/>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Procedimentos de transição e finalização do contrato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Não serão necessários procedimentos de transição e finalização do contrato devido às características do objeto.</w:t>
      </w:r>
    </w:p>
    <w:p>
      <w:pPr>
        <w:pStyle w:val="Nvel2Red"/>
        <w:numPr>
          <w:ilvl w:val="0"/>
          <w:numId w:val="0"/>
        </w:numPr>
        <w:shd w:val="clear" w:color="auto" w:fill="FFFFFF" w:themeFill="background1"/>
        <w:ind w:left="142" w:hanging="0"/>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MODELO DE GESTÃO DO CONTRATOO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As comunicações entre o órgão ou entidade e a contratada devem ser realizadas por escrito sempre que o ato exigir tal formalidade, admitindo-se o uso de mensagem eletrônica para esse fim.</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 órgão ou entidade poderá convocar representante da empresa para adoção de providências que devam ser cumpridas de imediato.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Preposto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A Contratada designará formalmente o preposto da empresa, antes do início da prestação dos serviços, indicando no instrumento os poderes e deveres em relação à execução do objeto contratado.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A Contratada deverá manter preposto da empresa no local da execução do objeto durante o período de execução do objeto.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A Contratante poderá recusar, desde que justificadamente, a indicação ou a manutenção do preposto da empresa, hipótese em que a Contratada designará outro para o exercício da atividade.</w:t>
      </w:r>
    </w:p>
    <w:p>
      <w:pPr>
        <w:pStyle w:val="Nivel2"/>
        <w:numPr>
          <w:ilvl w:val="0"/>
          <w:numId w:val="0"/>
        </w:numPr>
        <w:shd w:val="clear" w:color="auto" w:fill="FFFFFF" w:themeFill="background1"/>
        <w:ind w:left="999" w:hanging="432"/>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Fiscalização Administrativa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Gestor do Contrato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2"/>
        </w:numPr>
        <w:shd w:val="clear" w:color="auto" w:fill="FFFFFF" w:themeFill="background1"/>
        <w:ind w:left="142" w:hanging="432"/>
        <w:rPr>
          <w:rFonts w:ascii="Calibri" w:hAnsi="Calibri" w:cs="Calibri" w:asciiTheme="minorHAnsi" w:cstheme="minorHAnsi" w:hAnsiTheme="minorHAnsi"/>
          <w:sz w:val="22"/>
          <w:szCs w:val="22"/>
        </w:rPr>
      </w:pPr>
      <w:r>
        <w:rPr>
          <w:rFonts w:cs="Calibri" w:ascii="Calibri" w:hAnsi="Calibri" w:asciiTheme="minorHAnsi" w:cstheme="minorHAnsi" w:hAnsiTheme="minorHAnsi"/>
          <w:color w:val="auto"/>
          <w:sz w:val="22"/>
          <w:szCs w:val="24"/>
        </w:rPr>
        <w:t>O gestor do contrato deverá enviar a documentação pertinente ao setor de contratos para a formalização dos procedimentos de liquidação e pagamento, no valor dimensionado pela fiscalização e gestão nos termos do contrato.</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CRITÉRIOS DE MEDIÇÃO E PAGAMENTO </w:t>
      </w:r>
    </w:p>
    <w:p>
      <w:pPr>
        <w:pStyle w:val="Nvel01SemNumerao"/>
        <w:shd w:val="clear" w:color="auto" w:fill="FFFFFF" w:themeFill="background1"/>
        <w:ind w:left="142" w:hanging="0"/>
        <w:rPr>
          <w:rFonts w:ascii="Calibri" w:hAnsi="Calibri" w:cs="Calibri" w:asciiTheme="minorHAnsi" w:cstheme="minorHAnsi" w:hAnsiTheme="minorHAnsi"/>
          <w:b w:val="false"/>
          <w:b w:val="false"/>
          <w:bCs w:val="false"/>
          <w:color w:val="auto"/>
          <w:sz w:val="22"/>
          <w:szCs w:val="22"/>
        </w:rPr>
      </w:pPr>
      <w:r>
        <w:rPr>
          <w:rFonts w:cs="Calibri" w:ascii="Calibri" w:hAnsi="Calibri" w:asciiTheme="minorHAnsi" w:cstheme="minorHAnsi" w:hAnsiTheme="minorHAnsi"/>
          <w:b w:val="false"/>
          <w:bCs w:val="false"/>
          <w:color w:val="auto"/>
          <w:sz w:val="22"/>
          <w:szCs w:val="22"/>
        </w:rPr>
        <w:t>A avaliação da execução do objeto será feita pelo fiscal do contrato. Será indicada a retenção ou glosa no pagamento, proporcional à irregularidade verificada, sem prejuízo das sanções cabíveis, caso se constate que a contratada: não produzir os resultados acordados, deixar de executar, ou não executar com a qualidade mínima exigida as atividades contratadas; ou deixar de utilizar materiais e recursos humanos exigidos para a execução do serviço, ou utilizá-los com qualidade ou quantidade inferior à demandada.</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Do recebimento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Os serviços serão recebidos provisoriamente, no prazo de 10 (dez) dias, pelos fiscais técnico e administrativo, mediante termos detalhados, quando verificado o cumprimento das exigências de caráter técnico e administrativo. (</w:t>
      </w:r>
      <w:r>
        <w:fldChar w:fldCharType="begin"/>
      </w:r>
      <w:r>
        <w:rPr>
          <w:sz w:val="22"/>
          <w:szCs w:val="22"/>
          <w:rFonts w:cs="Calibri" w:ascii="Calibri" w:hAnsi="Calibri"/>
          <w:color w:val="auto"/>
          <w:lang w:eastAsia="en-US"/>
        </w:rPr>
        <w:instrText> HYPERLINK "http://www.planalto.gov.br/ccivil_03/_ato2019-2022/2021/lei/L14133.htm" \l "art140"</w:instrText>
      </w:r>
      <w:r>
        <w:rPr>
          <w:sz w:val="22"/>
          <w:szCs w:val="22"/>
          <w:rFonts w:cs="Calibri" w:ascii="Calibri" w:hAnsi="Calibri"/>
          <w:color w:val="auto"/>
          <w:lang w:eastAsia="en-US"/>
        </w:rPr>
        <w:fldChar w:fldCharType="separate"/>
      </w:r>
      <w:r>
        <w:rPr>
          <w:rFonts w:cs="Calibri" w:ascii="Calibri" w:hAnsi="Calibri" w:asciiTheme="minorHAnsi" w:cstheme="minorHAnsi" w:hAnsiTheme="minorHAnsi"/>
          <w:color w:val="auto"/>
          <w:sz w:val="22"/>
          <w:szCs w:val="22"/>
          <w:lang w:eastAsia="en-US"/>
        </w:rPr>
        <w:t>Art. 140, I, a , da Lei nº 14.133</w:t>
      </w:r>
      <w:r>
        <w:rPr>
          <w:sz w:val="22"/>
          <w:szCs w:val="22"/>
          <w:rFonts w:cs="Calibri" w:ascii="Calibri" w:hAnsi="Calibri"/>
          <w:color w:val="auto"/>
          <w:lang w:eastAsia="en-US"/>
        </w:rPr>
        <w:fldChar w:fldCharType="end"/>
      </w:r>
      <w:r>
        <w:rPr>
          <w:rFonts w:cs="Calibri" w:ascii="Calibri" w:hAnsi="Calibri" w:asciiTheme="minorHAnsi" w:cstheme="minorHAnsi" w:hAnsiTheme="minorHAnsi"/>
          <w:color w:val="auto"/>
          <w:sz w:val="22"/>
          <w:szCs w:val="22"/>
          <w:lang w:eastAsia="en-US"/>
        </w:rPr>
        <w:t xml:space="preserve"> e </w:t>
      </w:r>
      <w:r>
        <w:fldChar w:fldCharType="begin"/>
      </w:r>
      <w:r>
        <w:rPr>
          <w:rStyle w:val="LinkdaInternet"/>
          <w:sz w:val="22"/>
          <w:szCs w:val="22"/>
          <w:rFonts w:cs="Calibri" w:ascii="Calibri" w:hAnsi="Calibri"/>
          <w:color w:val="auto"/>
          <w:lang w:eastAsia="en-US"/>
        </w:rPr>
        <w:instrText> HYPERLINK "http://www.planalto.gov.br/ccivil_03/_ato2019-2022/2022/decreto/D11246.htm" \l "art22"</w:instrText>
      </w:r>
      <w:r>
        <w:rPr>
          <w:rStyle w:val="LinkdaInternet"/>
          <w:sz w:val="22"/>
          <w:szCs w:val="22"/>
          <w:rFonts w:cs="Calibri" w:ascii="Calibri" w:hAnsi="Calibri"/>
          <w:color w:val="auto"/>
          <w:lang w:eastAsia="en-US"/>
        </w:rPr>
        <w:fldChar w:fldCharType="separate"/>
      </w:r>
      <w:r>
        <w:rPr>
          <w:rStyle w:val="LinkdaInternet"/>
          <w:rFonts w:cs="Calibri" w:ascii="Calibri" w:hAnsi="Calibri" w:asciiTheme="minorHAnsi" w:cstheme="minorHAnsi" w:hAnsiTheme="minorHAnsi"/>
          <w:color w:val="auto"/>
          <w:sz w:val="22"/>
          <w:szCs w:val="22"/>
          <w:lang w:eastAsia="en-US"/>
        </w:rPr>
        <w:t>Arts. 22, X e 23, X do Decreto nº 11.246, de 2022</w:t>
      </w:r>
      <w:r>
        <w:rPr>
          <w:rStyle w:val="LinkdaInternet"/>
          <w:sz w:val="22"/>
          <w:szCs w:val="22"/>
          <w:rFonts w:cs="Calibri" w:ascii="Calibri" w:hAnsi="Calibri"/>
          <w:color w:val="auto"/>
          <w:lang w:eastAsia="en-US"/>
        </w:rPr>
        <w:fldChar w:fldCharType="end"/>
      </w:r>
      <w:r>
        <w:rPr>
          <w:rFonts w:cs="Calibri" w:ascii="Calibri" w:hAnsi="Calibri" w:asciiTheme="minorHAnsi" w:cstheme="minorHAnsi" w:hAnsiTheme="minorHAnsi"/>
          <w:color w:val="auto"/>
          <w:sz w:val="22"/>
          <w:szCs w:val="22"/>
          <w:lang w:eastAsia="en-US"/>
        </w:rPr>
        <w:t>).</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A fiscalização não efetuará o ateste da última e/ou única medição de serviços até que sejam sanadas todas as eventuais pendências que possam vir a ser apontadas no Recebimento Provisório. (</w:t>
      </w:r>
      <w:r>
        <w:fldChar w:fldCharType="begin"/>
      </w:r>
      <w:r>
        <w:rPr>
          <w:rStyle w:val="LinkdaInternet"/>
          <w:sz w:val="22"/>
          <w:szCs w:val="22"/>
          <w:rFonts w:cs="Calibri" w:ascii="Calibri" w:hAnsi="Calibri"/>
          <w:color w:val="auto"/>
          <w:lang w:eastAsia="en-US"/>
        </w:rPr>
        <w:instrText> HYPERLINK "http://www.planalto.gov.br/ccivil_03/_ato2019-2022/2021/lei/L14133.htm" \l "art119"</w:instrText>
      </w:r>
      <w:r>
        <w:rPr>
          <w:rStyle w:val="LinkdaInternet"/>
          <w:sz w:val="22"/>
          <w:szCs w:val="22"/>
          <w:rFonts w:cs="Calibri" w:ascii="Calibri" w:hAnsi="Calibri"/>
          <w:color w:val="auto"/>
          <w:lang w:eastAsia="en-US"/>
        </w:rPr>
        <w:fldChar w:fldCharType="separate"/>
      </w:r>
      <w:r>
        <w:rPr>
          <w:rStyle w:val="LinkdaInternet"/>
          <w:rFonts w:cs="Calibri" w:ascii="Calibri" w:hAnsi="Calibri" w:asciiTheme="minorHAnsi" w:cstheme="minorHAnsi" w:hAnsiTheme="minorHAnsi"/>
          <w:color w:val="auto"/>
          <w:sz w:val="22"/>
          <w:szCs w:val="22"/>
          <w:lang w:eastAsia="en-US"/>
        </w:rPr>
        <w:t>Art. 119 c/c art. 140 da Lei nº 14133, de 2021</w:t>
      </w:r>
      <w:r>
        <w:rPr>
          <w:rStyle w:val="LinkdaInternet"/>
          <w:sz w:val="22"/>
          <w:szCs w:val="22"/>
          <w:rFonts w:cs="Calibri" w:ascii="Calibri" w:hAnsi="Calibri"/>
          <w:color w:val="auto"/>
          <w:lang w:eastAsia="en-US"/>
        </w:rPr>
        <w:fldChar w:fldCharType="end"/>
      </w:r>
      <w:r>
        <w:rPr>
          <w:rFonts w:cs="Calibri" w:ascii="Calibri" w:hAnsi="Calibri" w:asciiTheme="minorHAnsi" w:cstheme="minorHAnsi" w:hAnsiTheme="minorHAnsi"/>
          <w:sz w:val="22"/>
          <w:szCs w:val="22"/>
          <w:lang w:eastAsia="en-US"/>
        </w:rPr>
        <w:t>)</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O recebimento provisório também ficará sujeito, quando cabível, à conclusão de todos os testes de campo e à entrega dos Manuais e Instruções exigíveis.</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Os serviços poderão ser rejeitados, no todo ou em parte, quando em desacordo com as especificações constantes neste Termo de Referência e na proposta, sem prejuízo da aplicação das penalidades.</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Os serviços serão recebidos definitivamente no prazo de 5 (cinco) dias, contados do recebimento provisório, por servidor ou comissão designada pela autoridade competente, após a verificação da qualidade e quantidade do serviço e consequente aceitação mediante termo detalhado, obedecendo os seguintes procedimentos:</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 xml:space="preserve">Emitir </w:t>
      </w:r>
      <w:r>
        <w:rPr>
          <w:rFonts w:cs="Calibri" w:ascii="Calibri" w:hAnsi="Calibri" w:asciiTheme="minorHAnsi" w:cstheme="minorHAnsi" w:hAnsiTheme="minorHAnsi"/>
          <w:sz w:val="22"/>
          <w:szCs w:val="22"/>
        </w:rPr>
        <w:t xml:space="preserve">Termo </w:t>
      </w:r>
      <w:r>
        <w:rPr>
          <w:rFonts w:cs="Calibri" w:ascii="Calibri" w:hAnsi="Calibri" w:asciiTheme="minorHAnsi" w:cstheme="minorHAnsi" w:hAnsiTheme="minorHAnsi"/>
          <w:sz w:val="22"/>
          <w:szCs w:val="22"/>
          <w:lang w:eastAsia="en-US"/>
        </w:rPr>
        <w:t>Detalhado para efeito de recebimento definitivo dos serviços prestados, com base nos relatórios e documentações apresentadas; e</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Comunicar a empresa para que emita a Nota Fiscal ou Fatura, com o valor exato dimensionado pela fiscalização.</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Enviar a documentação pertinente ao setor de contratos para a formalização dos procedimentos de liquidação e pagamento, no valor dimensionado pela fiscalização e gestão.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 xml:space="preserve">No caso de controvérsia sobre a execução do objeto, quanto à dimensão, qualidade e quantidade, deverá ser observado o teor do </w:t>
      </w:r>
      <w:r>
        <w:fldChar w:fldCharType="begin"/>
      </w:r>
      <w:r>
        <w:rPr>
          <w:rStyle w:val="LinkdaInternet"/>
          <w:sz w:val="22"/>
          <w:szCs w:val="22"/>
          <w:rFonts w:cs="Calibri" w:ascii="Calibri" w:hAnsi="Calibri"/>
          <w:color w:val="auto"/>
          <w:lang w:eastAsia="en-US"/>
        </w:rPr>
        <w:instrText> HYPERLINK "http://www.planalto.gov.br/ccivil_03/_ato2019-2022/2021/lei/L14133.htm" \l "art143"</w:instrText>
      </w:r>
      <w:r>
        <w:rPr>
          <w:rStyle w:val="LinkdaInternet"/>
          <w:sz w:val="22"/>
          <w:szCs w:val="22"/>
          <w:rFonts w:cs="Calibri" w:ascii="Calibri" w:hAnsi="Calibri"/>
          <w:color w:val="auto"/>
          <w:lang w:eastAsia="en-US"/>
        </w:rPr>
        <w:fldChar w:fldCharType="separate"/>
      </w:r>
      <w:r>
        <w:rPr>
          <w:rStyle w:val="LinkdaInternet"/>
          <w:rFonts w:cs="Calibri" w:ascii="Calibri" w:hAnsi="Calibri" w:asciiTheme="minorHAnsi" w:cstheme="minorHAnsi" w:hAnsiTheme="minorHAnsi"/>
          <w:color w:val="auto"/>
          <w:sz w:val="22"/>
          <w:szCs w:val="22"/>
          <w:lang w:eastAsia="en-US"/>
        </w:rPr>
        <w:t>art. 143 da Lei nº 14.133, de 2021</w:t>
      </w:r>
      <w:r>
        <w:rPr>
          <w:rStyle w:val="LinkdaInternet"/>
          <w:sz w:val="22"/>
          <w:szCs w:val="22"/>
          <w:rFonts w:cs="Calibri" w:ascii="Calibri" w:hAnsi="Calibri"/>
          <w:color w:val="auto"/>
          <w:lang w:eastAsia="en-US"/>
        </w:rPr>
        <w:fldChar w:fldCharType="end"/>
      </w:r>
      <w:r>
        <w:rPr>
          <w:rFonts w:cs="Calibri" w:ascii="Calibri" w:hAnsi="Calibri" w:asciiTheme="minorHAnsi" w:cstheme="minorHAnsi" w:hAnsiTheme="minorHAnsi"/>
          <w:color w:val="auto"/>
          <w:sz w:val="22"/>
          <w:szCs w:val="22"/>
          <w:lang w:eastAsia="en-US"/>
        </w:rPr>
        <w:t>, comunicando-se à empresa para emissão de Nota Fiscal no que pertine à parcela incontroversa da execução do objeto, para efeito de liquidação e pagamento.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Nenhum prazo de recebimento ocorrerá enquanto pendente a solução, pelo contratado, de inconsistências verificadas na execução do objeto ou no instrumento de cobrança.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O recebimento provisório ou definitivo não excluirá a responsabilidade civil pela solidez e pela segurança do serviço nem a responsabilidade ético-profissional pela perfeita execução do contrato.</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Liquidação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Recebida a Nota Fiscal ou documento de cobrança equivalente, correrá o prazo de dez dias úteis para fins de liquidação, na forma desta seção, prorrogáveis por igual período, nos termos do </w:t>
      </w:r>
      <w:hyperlink r:id="rId3">
        <w:r>
          <w:rPr>
            <w:rStyle w:val="LinkdaInternet"/>
            <w:rFonts w:cs="Calibri" w:ascii="Calibri" w:hAnsi="Calibri" w:asciiTheme="minorHAnsi" w:cstheme="minorHAnsi" w:hAnsiTheme="minorHAnsi"/>
            <w:color w:val="auto"/>
            <w:sz w:val="22"/>
            <w:szCs w:val="22"/>
          </w:rPr>
          <w:t>art. 7º, §2º da Instrução Normativa SEGES/ME nº 77/2022.</w:t>
        </w:r>
      </w:hyperlink>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O prazo de que trata o item anterior será reduzido à metade, mantendo-se a possibilidade de prorrogação, nos casos de contratações decorrentes de despesas cujos valores não ultrapassem o limite de que trata o </w:t>
      </w:r>
      <w:r>
        <w:fldChar w:fldCharType="begin"/>
      </w:r>
      <w:r>
        <w:rPr>
          <w:rStyle w:val="LinkdaInternet"/>
          <w:sz w:val="22"/>
          <w:szCs w:val="22"/>
          <w:rFonts w:cs="Calibri" w:ascii="Calibri" w:hAnsi="Calibri"/>
          <w:color w:val="auto"/>
        </w:rPr>
        <w:instrText> HYPERLINK "http://www.planalto.gov.br/ccivil_03/_ato2019-2022/2021/lei/L14133.htm" \l "art75"</w:instrText>
      </w:r>
      <w:r>
        <w:rPr>
          <w:rStyle w:val="LinkdaInternet"/>
          <w:sz w:val="22"/>
          <w:szCs w:val="22"/>
          <w:rFonts w:cs="Calibri" w:ascii="Calibri" w:hAnsi="Calibri"/>
          <w:color w:val="auto"/>
        </w:rPr>
        <w:fldChar w:fldCharType="separate"/>
      </w:r>
      <w:r>
        <w:rPr>
          <w:rStyle w:val="LinkdaInternet"/>
          <w:rFonts w:cs="Calibri" w:ascii="Calibri" w:hAnsi="Calibri" w:asciiTheme="minorHAnsi" w:cstheme="minorHAnsi" w:hAnsiTheme="minorHAnsi"/>
          <w:color w:val="auto"/>
          <w:sz w:val="22"/>
          <w:szCs w:val="22"/>
        </w:rPr>
        <w:t>inciso II do art. 75 da Lei nº 14.133, de 2021</w:t>
      </w:r>
      <w:r>
        <w:rPr>
          <w:rStyle w:val="LinkdaInternet"/>
          <w:sz w:val="22"/>
          <w:szCs w:val="22"/>
          <w:rFonts w:cs="Calibri" w:ascii="Calibri" w:hAnsi="Calibri"/>
          <w:color w:val="auto"/>
        </w:rPr>
        <w:fldChar w:fldCharType="end"/>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Para fins de liquidação, o setor competente deve verificar se a Nota Fiscal ou Fatura apresentada expressa os elementos necessários e essenciais do documento, tais como:</w:t>
      </w:r>
    </w:p>
    <w:p>
      <w:pPr>
        <w:pStyle w:val="Nivel3"/>
        <w:numPr>
          <w:ilvl w:val="2"/>
          <w:numId w:val="2"/>
        </w:numPr>
        <w:shd w:val="clear" w:color="auto" w:fill="FFFFFF" w:themeFill="background1"/>
        <w:ind w:left="-284" w:firstLine="426"/>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 xml:space="preserve"> </w:t>
      </w:r>
      <w:r>
        <w:rPr>
          <w:rFonts w:cs="Calibri" w:ascii="Calibri" w:hAnsi="Calibri" w:asciiTheme="minorHAnsi" w:cstheme="minorHAnsi" w:hAnsiTheme="minorHAnsi"/>
          <w:sz w:val="22"/>
          <w:szCs w:val="22"/>
          <w:lang w:eastAsia="en-US"/>
        </w:rPr>
        <w:t>o prazo de validade;</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 xml:space="preserve"> </w:t>
      </w:r>
      <w:r>
        <w:rPr>
          <w:rFonts w:cs="Calibri" w:ascii="Calibri" w:hAnsi="Calibri" w:asciiTheme="minorHAnsi" w:cstheme="minorHAnsi" w:hAnsiTheme="minorHAnsi"/>
          <w:sz w:val="22"/>
          <w:szCs w:val="22"/>
          <w:lang w:eastAsia="en-US"/>
        </w:rPr>
        <w:t>a data da emissão;</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 xml:space="preserve"> </w:t>
      </w:r>
      <w:r>
        <w:rPr>
          <w:rFonts w:cs="Calibri" w:ascii="Calibri" w:hAnsi="Calibri" w:asciiTheme="minorHAnsi" w:cstheme="minorHAnsi" w:hAnsiTheme="minorHAnsi"/>
          <w:sz w:val="22"/>
          <w:szCs w:val="22"/>
          <w:lang w:eastAsia="en-US"/>
        </w:rPr>
        <w:t>os dados do contrato e do órgão contratante;</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 xml:space="preserve"> </w:t>
      </w:r>
      <w:r>
        <w:rPr>
          <w:rFonts w:cs="Calibri" w:ascii="Calibri" w:hAnsi="Calibri" w:asciiTheme="minorHAnsi" w:cstheme="minorHAnsi" w:hAnsiTheme="minorHAnsi"/>
          <w:sz w:val="22"/>
          <w:szCs w:val="22"/>
          <w:lang w:eastAsia="en-US"/>
        </w:rPr>
        <w:t>o período respectivo de execução do contrato;</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lang w:eastAsia="en-US"/>
        </w:rPr>
        <w:t xml:space="preserve"> </w:t>
      </w:r>
      <w:r>
        <w:rPr>
          <w:rFonts w:cs="Calibri" w:ascii="Calibri" w:hAnsi="Calibri" w:asciiTheme="minorHAnsi" w:cstheme="minorHAnsi" w:hAnsiTheme="minorHAnsi"/>
          <w:sz w:val="22"/>
          <w:szCs w:val="24"/>
          <w:lang w:eastAsia="en-US"/>
        </w:rPr>
        <w:t>o valor a pagar; e</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lang w:eastAsia="en-US"/>
        </w:rPr>
        <w:t xml:space="preserve"> </w:t>
      </w:r>
      <w:r>
        <w:rPr>
          <w:rFonts w:cs="Calibri" w:ascii="Calibri" w:hAnsi="Calibri" w:asciiTheme="minorHAnsi" w:cstheme="minorHAnsi" w:hAnsiTheme="minorHAnsi"/>
          <w:sz w:val="22"/>
          <w:szCs w:val="24"/>
          <w:lang w:eastAsia="en-US"/>
        </w:rPr>
        <w:t>eventual destaque do valor de retenções tributárias cabíveis.</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4"/>
        </w:rPr>
        <w:t>A Nota Fiscal ou Fatura deverá ser obrigatoriamente acompanhada da comprovação da regularidade fiscal, constatada por meio de consulta on-line ao SICAF ou, na</w:t>
      </w:r>
      <w:r>
        <w:rPr>
          <w:rFonts w:ascii="Arial" w:hAnsi="Arial"/>
          <w:color w:val="auto"/>
          <w:sz w:val="22"/>
          <w:szCs w:val="24"/>
        </w:rPr>
        <w:t xml:space="preserve"> </w:t>
      </w:r>
      <w:r>
        <w:rPr>
          <w:rFonts w:ascii="Arial" w:hAnsi="Arial"/>
          <w:color w:val="auto"/>
          <w:sz w:val="24"/>
          <w:szCs w:val="24"/>
        </w:rPr>
        <w:t xml:space="preserve">impossibilidade de acesso ao </w:t>
      </w:r>
      <w:r>
        <w:rPr>
          <w:rFonts w:cs="Calibri" w:ascii="Calibri" w:hAnsi="Calibri" w:asciiTheme="minorHAnsi" w:cstheme="minorHAnsi" w:hAnsiTheme="minorHAnsi"/>
          <w:color w:val="auto"/>
          <w:sz w:val="22"/>
          <w:szCs w:val="22"/>
        </w:rPr>
        <w:t>referido Sistema, mediante consulta aos sítios eletrônicos oficiais ou à documentação mencionada no art. 68 da Lei nº 14.133/2021.</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A Administração deverá realizar consulta ao SICAF para: a) verificar a manutenção das condições de habilitação exigidas; b) </w:t>
      </w:r>
      <w:r>
        <w:rPr>
          <w:rFonts w:cs="Calibri" w:ascii="Calibri" w:hAnsi="Calibri" w:asciiTheme="minorHAnsi" w:cstheme="minorHAnsi" w:hAnsiTheme="minorHAnsi"/>
          <w:color w:val="000000"/>
          <w:sz w:val="22"/>
          <w:szCs w:val="22"/>
          <w:shd w:fill="FFFFFF" w:val="clear"/>
        </w:rPr>
        <w:t>identificar possível razão que impeça a contratação no âmbito do órgão ou entidade, tais como a proibição de contratar com a Administração ou com o Poder Público</w:t>
      </w:r>
      <w:r>
        <w:rPr>
          <w:rFonts w:cs="Calibri" w:ascii="Calibri" w:hAnsi="Calibri" w:asciiTheme="minorHAnsi" w:cstheme="minorHAnsi" w:hAnsiTheme="minorHAnsi"/>
          <w:color w:val="auto"/>
          <w:sz w:val="22"/>
          <w:szCs w:val="22"/>
        </w:rPr>
        <w:t>, bem como ocorrências impeditivas indiretas (INSTRUÇÃO NORMATIVA Nº 3, DE 26 DE ABRIL DE 2018</w:t>
      </w:r>
      <w:bookmarkStart w:id="2" w:name="_Int_T4XqlsQA"/>
      <w:r>
        <w:rPr>
          <w:rFonts w:cs="Calibri" w:ascii="Calibri" w:hAnsi="Calibri" w:asciiTheme="minorHAnsi" w:cstheme="minorHAnsi" w:hAnsiTheme="minorHAnsi"/>
          <w:color w:val="auto"/>
          <w:sz w:val="22"/>
          <w:szCs w:val="22"/>
        </w:rPr>
        <w:t>).</w:t>
      </w:r>
      <w:bookmarkEnd w:id="2"/>
      <w:r>
        <w:rPr>
          <w:rFonts w:cs="Calibri" w:ascii="Calibri" w:hAnsi="Calibri" w:asciiTheme="minorHAnsi" w:cstheme="minorHAnsi" w:hAnsiTheme="minorHAnsi"/>
          <w:color w:val="auto"/>
          <w:sz w:val="22"/>
          <w:szCs w:val="22"/>
        </w:rPr>
        <w:t xml:space="preserve">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Persistindo a irregularidade, o contratante deverá adotar as medidas necessárias à rescisão contratual nos autos do processo administrativo correspondente, assegurada ao contratado a ampla defesa.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Havendo a efetiva execução do objeto, os pagamentos serão realizados normalmente, até que se decida pela rescisão do contrato, caso o contratado não regularize sua situação junto ao SICAF. </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Prazo de pagamento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 pagamento será efetuado no prazo máximo de até dez dias úteis, contados da finalização da liquidação da despesa, conforme seção anterior, nos termos da Instrução Normativa SEGES/ME nº 77, de 2022.</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No caso de atraso pelo Contratante, os valores devidos ao contratado serão atualizados monetariamente entre o termo final do prazo de pagamento até a data de sua efetiva realização, mediante aplicação do índice XXXX de correção monetária.</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Forma de pagamento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 pagamento será realizado através de ordem bancária, para crédito em banco, agência e conta corrente indicados pelo contratado.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Será considerada data do pagamento o dia em que constar como emitida a ordem bancária para pagamento.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Quando do pagamento, será efetuada a retenção tributária prevista na legislação aplicável.</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Cessão de crédito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bookmarkStart w:id="3" w:name="_Ref154079654"/>
      <w:r>
        <w:rPr>
          <w:rFonts w:cs="Calibri" w:ascii="Calibri" w:hAnsi="Calibri" w:asciiTheme="minorHAnsi" w:cstheme="minorHAnsi" w:hAnsiTheme="minorHAnsi"/>
          <w:color w:val="auto"/>
          <w:sz w:val="22"/>
          <w:szCs w:val="22"/>
        </w:rPr>
        <w:t>É admitida a cessão fiduciária de direitos creditícios com instituição financeira, nos termos e de acordo com os procedimentos previstos na Instrução Normativa SEGES/ME nº 53, de 8 de julho de 2020, conforme as regras deste presente tópico.</w:t>
      </w:r>
      <w:bookmarkEnd w:id="3"/>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2"/>
        </w:rPr>
      </w:pPr>
      <w:r>
        <w:rPr>
          <w:rFonts w:cs="Calibri" w:ascii="Calibri" w:hAnsi="Calibri" w:asciiTheme="minorHAnsi" w:cstheme="minorHAnsi" w:hAnsiTheme="minorHAnsi"/>
          <w:i w:val="false"/>
          <w:iCs w:val="false"/>
          <w:color w:val="auto"/>
          <w:sz w:val="22"/>
          <w:szCs w:val="22"/>
        </w:rPr>
        <w:t xml:space="preserve">As cessões de crédito </w:t>
      </w:r>
      <w:r>
        <w:rPr>
          <w:rStyle w:val="Normaltextrun"/>
          <w:rFonts w:cs="Calibri" w:ascii="Calibri" w:hAnsi="Calibri" w:asciiTheme="minorHAnsi" w:cstheme="minorHAnsi" w:hAnsiTheme="minorHAnsi"/>
          <w:i w:val="false"/>
          <w:iCs w:val="false"/>
          <w:color w:val="auto"/>
          <w:sz w:val="22"/>
          <w:szCs w:val="22"/>
        </w:rPr>
        <w:t xml:space="preserve">não abrangidas pela Instrução Normativa SEGES/ME nº 53, de 8 de julho de 2020, </w:t>
      </w:r>
      <w:r>
        <w:rPr>
          <w:rFonts w:cs="Calibri" w:ascii="Calibri" w:hAnsi="Calibri" w:asciiTheme="minorHAnsi" w:cstheme="minorHAnsi" w:hAnsiTheme="minorHAnsi"/>
          <w:i w:val="false"/>
          <w:iCs w:val="false"/>
          <w:color w:val="auto"/>
          <w:sz w:val="22"/>
          <w:szCs w:val="22"/>
        </w:rPr>
        <w:t>dependerão de prévia aprovação do contratante.</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A eficácia da cessão de crédito</w:t>
      </w:r>
      <w:r>
        <w:rPr>
          <w:rStyle w:val="Ttulo2Char"/>
          <w:rFonts w:cs="Calibri" w:ascii="Calibri" w:hAnsi="Calibri" w:asciiTheme="minorHAnsi" w:cstheme="minorHAnsi" w:hAnsiTheme="minorHAnsi"/>
          <w:color w:val="auto"/>
          <w:sz w:val="22"/>
          <w:szCs w:val="22"/>
        </w:rPr>
        <w:t xml:space="preserve"> </w:t>
      </w:r>
      <w:r>
        <w:rPr>
          <w:rStyle w:val="Normaltextrun"/>
          <w:rFonts w:cs="Calibri" w:ascii="Calibri" w:hAnsi="Calibri" w:asciiTheme="minorHAnsi" w:cstheme="minorHAnsi" w:hAnsiTheme="minorHAnsi"/>
          <w:color w:val="auto"/>
          <w:sz w:val="22"/>
          <w:szCs w:val="22"/>
        </w:rPr>
        <w:t>não abrangida pela Instrução Normativa SEGES/ME nº 53, de 8 de julho de 2020,</w:t>
      </w:r>
      <w:r>
        <w:rPr>
          <w:rFonts w:cs="Calibri" w:ascii="Calibri" w:hAnsi="Calibri" w:asciiTheme="minorHAnsi" w:cstheme="minorHAnsi" w:hAnsiTheme="minorHAnsi"/>
          <w:color w:val="auto"/>
          <w:sz w:val="22"/>
          <w:szCs w:val="22"/>
          <w:lang w:eastAsia="en-US"/>
        </w:rPr>
        <w:t xml:space="preserve"> em relação à Administração, está condicionada à celebração de termo aditivo ao contrato administrativo.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r>
        <w:fldChar w:fldCharType="begin"/>
      </w:r>
      <w:r>
        <w:rPr>
          <w:rStyle w:val="LinkdaInternet"/>
          <w:sz w:val="22"/>
          <w:szCs w:val="22"/>
          <w:rFonts w:cs="Calibri" w:ascii="Calibri" w:hAnsi="Calibri"/>
          <w:color w:val="auto"/>
          <w:lang w:eastAsia="en-US"/>
        </w:rPr>
        <w:instrText> HYPERLINK "https://www.planalto.gov.br/ccivil_03/leis/l8429.htm" \l "art12"</w:instrText>
      </w:r>
      <w:r>
        <w:rPr>
          <w:rStyle w:val="LinkdaInternet"/>
          <w:sz w:val="22"/>
          <w:szCs w:val="22"/>
          <w:rFonts w:cs="Calibri" w:ascii="Calibri" w:hAnsi="Calibri"/>
          <w:color w:val="auto"/>
          <w:lang w:eastAsia="en-US"/>
        </w:rPr>
        <w:fldChar w:fldCharType="separate"/>
      </w:r>
      <w:r>
        <w:rPr>
          <w:rStyle w:val="LinkdaInternet"/>
          <w:rFonts w:cs="Calibri" w:ascii="Calibri" w:hAnsi="Calibri" w:asciiTheme="minorHAnsi" w:cstheme="minorHAnsi" w:hAnsiTheme="minorHAnsi"/>
          <w:color w:val="auto"/>
          <w:sz w:val="22"/>
          <w:szCs w:val="22"/>
          <w:lang w:eastAsia="en-US"/>
        </w:rPr>
        <w:t>art. 12 da Lei nº 8.429, de 1992</w:t>
      </w:r>
      <w:r>
        <w:rPr>
          <w:rStyle w:val="LinkdaInternet"/>
          <w:sz w:val="22"/>
          <w:szCs w:val="22"/>
          <w:rFonts w:cs="Calibri" w:ascii="Calibri" w:hAnsi="Calibri"/>
          <w:color w:val="auto"/>
          <w:lang w:eastAsia="en-US"/>
        </w:rPr>
        <w:fldChar w:fldCharType="end"/>
      </w:r>
      <w:r>
        <w:rPr>
          <w:rFonts w:cs="Calibri" w:ascii="Calibri" w:hAnsi="Calibri" w:asciiTheme="minorHAnsi" w:cstheme="minorHAnsi" w:hAnsiTheme="minorHAnsi"/>
          <w:color w:val="auto"/>
          <w:sz w:val="22"/>
          <w:szCs w:val="22"/>
          <w:lang w:eastAsia="en-US"/>
        </w:rPr>
        <w:t xml:space="preserve">, nos termos do </w:t>
      </w:r>
      <w:hyperlink r:id="rId4">
        <w:r>
          <w:rPr>
            <w:rStyle w:val="LinkdaInternet"/>
            <w:rFonts w:cs="Calibri" w:ascii="Calibri" w:hAnsi="Calibri" w:asciiTheme="minorHAnsi" w:cstheme="minorHAnsi" w:hAnsiTheme="minorHAnsi"/>
            <w:color w:val="auto"/>
            <w:sz w:val="22"/>
            <w:szCs w:val="22"/>
            <w:lang w:eastAsia="en-US"/>
          </w:rPr>
          <w:t>Parecer JL-01, de 18 de maio de 2020.</w:t>
        </w:r>
      </w:hyperlink>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rFonts w:cs="Calibri" w:ascii="Calibri" w:hAnsi="Calibri" w:asciiTheme="minorHAnsi" w:cstheme="minorHAnsi" w:hAnsiTheme="minorHAnsi"/>
          <w:color w:val="auto"/>
          <w:sz w:val="22"/>
          <w:szCs w:val="22"/>
        </w:rPr>
        <w:t xml:space="preserve"> (INSTRUÇÃO NORMATIVA Nº 53, DE 8 DE JULHO DE 2020 e Anexos)</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lang w:eastAsia="en-US"/>
        </w:rPr>
        <w:t>A cessão de crédito não afetará a execução do objeto contratado, que continuará sob a integral responsabilidade do contratado.</w:t>
      </w:r>
    </w:p>
    <w:p>
      <w:pPr>
        <w:pStyle w:val="Nivel01"/>
        <w:shd w:val="clear" w:color="auto" w:fill="FFFFFF" w:themeFill="background1"/>
        <w:ind w:left="142" w:hanging="0"/>
        <w:rPr>
          <w:rFonts w:ascii="Calibri" w:hAnsi="Calibri" w:cs="Calibri" w:asciiTheme="minorHAnsi" w:cstheme="minorHAnsi" w:hAnsiTheme="minorHAnsi"/>
          <w:sz w:val="22"/>
          <w:szCs w:val="22"/>
        </w:rPr>
      </w:pPr>
      <w:r>
        <w:rPr>
          <w:rFonts w:cs="Calibri" w:cstheme="minorHAnsi" w:ascii="Calibri" w:hAnsi="Calibri"/>
          <w:sz w:val="22"/>
          <w:szCs w:val="22"/>
        </w:rPr>
      </w:r>
    </w:p>
    <w:p>
      <w:pPr>
        <w:pStyle w:val="Nivel01"/>
        <w:numPr>
          <w:ilvl w:val="0"/>
          <w:numId w:val="2"/>
        </w:numPr>
        <w:shd w:val="clear" w:color="auto" w:fill="FFFFFF" w:themeFill="background1"/>
        <w:ind w:left="142" w:hanging="36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FORMA E CRITÉRIO DE SELEÇÃO E REGIME DE EXECUÇÃO</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Forma de seleção e critério de julgamento da proposta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Style w:val="Normaltextrun"/>
          <w:rFonts w:cs="Calibri" w:ascii="Calibri" w:hAnsi="Calibri" w:asciiTheme="minorHAnsi" w:cstheme="minorHAnsi" w:hAnsiTheme="minorHAnsi"/>
          <w:color w:val="auto"/>
          <w:sz w:val="22"/>
          <w:szCs w:val="22"/>
        </w:rPr>
        <w:t xml:space="preserve">O </w:t>
      </w:r>
      <w:r>
        <w:rPr>
          <w:rStyle w:val="Normaltextrun"/>
          <w:rFonts w:cs="Calibri" w:ascii="Calibri" w:hAnsi="Calibri" w:asciiTheme="minorHAnsi" w:cstheme="minorHAnsi" w:hAnsiTheme="minorHAnsi"/>
          <w:color w:val="000000"/>
          <w:sz w:val="22"/>
          <w:szCs w:val="22"/>
          <w:shd w:fill="FFFFFF" w:val="clear"/>
        </w:rPr>
        <w:t>contratado</w:t>
      </w:r>
      <w:r>
        <w:rPr>
          <w:rStyle w:val="Normaltextrun"/>
          <w:rFonts w:cs="Calibri" w:ascii="Calibri" w:hAnsi="Calibri" w:asciiTheme="minorHAnsi" w:cstheme="minorHAnsi" w:hAnsiTheme="minorHAnsi"/>
          <w:color w:val="auto"/>
          <w:sz w:val="22"/>
          <w:szCs w:val="22"/>
        </w:rPr>
        <w:t xml:space="preserve"> será selecionado por meio da realização de procedimento de dispensa de licitação, na forma eletrônica, com fundamento na hipótese do art. 75, inciso II da Lei nº 14.133/2021 (indicar um dos incisos do art. 75, da Lei nº 14.133/2021, conforme o caso concreto), que culminará com a seleção da proposta de MENOR PREÇO.</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cstheme="minorHAnsi" w:ascii="Calibri" w:hAnsi="Calibri"/>
          <w:color w:val="auto"/>
          <w:sz w:val="22"/>
          <w:szCs w:val="22"/>
        </w:rPr>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Regime de execução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 regime de execução do contrato será por empenho ordinário.</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Habilitação jurídica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bookmarkStart w:id="4" w:name="_Ref115800561"/>
      <w:r>
        <w:rPr>
          <w:rFonts w:cs="Calibri" w:ascii="Calibri" w:hAnsi="Calibri" w:asciiTheme="minorHAnsi" w:cstheme="minorHAnsi" w:hAnsiTheme="minorHAnsi"/>
          <w:b/>
          <w:bCs/>
          <w:color w:val="auto"/>
          <w:sz w:val="22"/>
          <w:szCs w:val="22"/>
        </w:rPr>
        <w:t>Pessoa física:</w:t>
      </w:r>
      <w:r>
        <w:rPr>
          <w:rFonts w:cs="Calibri" w:ascii="Calibri" w:hAnsi="Calibri" w:asciiTheme="minorHAnsi" w:cstheme="minorHAnsi" w:hAnsiTheme="minorHAnsi"/>
          <w:color w:val="auto"/>
          <w:sz w:val="22"/>
          <w:szCs w:val="22"/>
        </w:rPr>
        <w:t xml:space="preserve"> cédula de identidade (RG) ou documento equivalente que, por força de lei, tenha validade para fins de identificação em todo o território nacional;</w:t>
      </w:r>
      <w:bookmarkEnd w:id="4"/>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
          <w:bCs/>
          <w:color w:val="auto"/>
          <w:sz w:val="22"/>
          <w:szCs w:val="22"/>
        </w:rPr>
        <w:t>Empresário individual</w:t>
      </w:r>
      <w:r>
        <w:rPr>
          <w:rFonts w:cs="Calibri" w:ascii="Calibri" w:hAnsi="Calibri" w:asciiTheme="minorHAnsi" w:cstheme="minorHAnsi" w:hAnsiTheme="minorHAnsi"/>
          <w:color w:val="auto"/>
          <w:sz w:val="22"/>
          <w:szCs w:val="22"/>
        </w:rPr>
        <w:t xml:space="preserve">: inscrição no Registro Público de Empresas Mercantis, a cargo da Junta Comercial da respectiva sede;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
          <w:bCs/>
          <w:color w:val="auto"/>
          <w:sz w:val="22"/>
          <w:szCs w:val="22"/>
        </w:rPr>
        <w:t>Microempreendedor Individual - MEI</w:t>
      </w:r>
      <w:r>
        <w:rPr>
          <w:rFonts w:cs="Calibri" w:ascii="Calibri" w:hAnsi="Calibri" w:asciiTheme="minorHAnsi" w:cstheme="minorHAnsi" w:hAnsiTheme="minorHAnsi"/>
          <w:color w:val="auto"/>
          <w:sz w:val="22"/>
          <w:szCs w:val="22"/>
        </w:rPr>
        <w:t xml:space="preserve">: Certificado da Condição de Microempreendedor Individual - CCMEI, cuja aceitação ficará condicionada à verificação da autenticidade no sítio </w:t>
      </w:r>
      <w:hyperlink r:id="rId5">
        <w:r>
          <w:rPr>
            <w:rStyle w:val="LinkdaInternet"/>
            <w:rFonts w:cs="Calibri" w:ascii="Calibri" w:hAnsi="Calibri" w:asciiTheme="minorHAnsi" w:cstheme="minorHAnsi" w:hAnsiTheme="minorHAnsi"/>
            <w:color w:val="auto"/>
            <w:sz w:val="22"/>
            <w:szCs w:val="22"/>
          </w:rPr>
          <w:t>https://www.gov.br/empresas-e-negocios/pt-br/empreendedor</w:t>
        </w:r>
      </w:hyperlink>
      <w:r>
        <w:rPr>
          <w:rFonts w:cs="Calibri" w:ascii="Calibri" w:hAnsi="Calibri" w:asciiTheme="minorHAnsi" w:cstheme="minorHAnsi" w:hAnsiTheme="minorHAnsi"/>
          <w:color w:val="auto"/>
          <w:sz w:val="22"/>
          <w:szCs w:val="22"/>
        </w:rPr>
        <w:t>;</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
          <w:color w:val="auto"/>
          <w:sz w:val="22"/>
          <w:szCs w:val="22"/>
        </w:rPr>
        <w:t>Sociedade empresária, sociedade limitada unipessoal – SLU ou sociedade identificada como empresa individual de responsabilidade limitada - EIRELI</w:t>
      </w:r>
      <w:r>
        <w:rPr>
          <w:rFonts w:cs="Calibri" w:ascii="Calibri" w:hAnsi="Calibri" w:asciiTheme="minorHAnsi" w:cstheme="minorHAnsi" w:hAnsiTheme="minorHAnsi"/>
          <w:color w:val="auto"/>
          <w:sz w:val="22"/>
          <w:szCs w:val="22"/>
        </w:rPr>
        <w:t>: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
          <w:bCs/>
          <w:color w:val="auto"/>
          <w:sz w:val="22"/>
          <w:szCs w:val="22"/>
        </w:rPr>
        <w:t>Sociedade empresária estrangeira</w:t>
      </w:r>
      <w:r>
        <w:rPr>
          <w:rFonts w:cs="Calibri" w:ascii="Calibri" w:hAnsi="Calibri" w:asciiTheme="minorHAnsi" w:cstheme="minorHAnsi" w:hAnsiTheme="minorHAnsi"/>
          <w:color w:val="auto"/>
          <w:sz w:val="22"/>
          <w:szCs w:val="22"/>
        </w:rPr>
        <w:t>: portaria de autorização de funcionamento no Brasil, publicada no Diário Oficial da União e arquivada na Junta Comercial da unidade federativa onde se localizar a</w:t>
      </w:r>
      <w:r>
        <w:rPr>
          <w:rFonts w:cs="Calibri" w:ascii="Calibri" w:hAnsi="Calibri" w:asciiTheme="minorHAnsi" w:cstheme="minorHAnsi" w:hAnsiTheme="minorHAnsi"/>
          <w:color w:val="auto"/>
          <w:sz w:val="24"/>
          <w:szCs w:val="24"/>
        </w:rPr>
        <w:t xml:space="preserve"> filial, </w:t>
      </w:r>
      <w:r>
        <w:rPr>
          <w:rFonts w:cs="Calibri" w:ascii="Calibri" w:hAnsi="Calibri" w:asciiTheme="minorHAnsi" w:cstheme="minorHAnsi" w:hAnsiTheme="minorHAnsi"/>
          <w:color w:val="auto"/>
          <w:sz w:val="22"/>
          <w:szCs w:val="22"/>
        </w:rPr>
        <w:t>agência, sucursal ou estabelecimento, a qual será considerada como sua sede, conforme Instrução Normativa DREI/ME nº 77, de 18 de março de 2020.</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
          <w:bCs/>
          <w:color w:val="auto"/>
          <w:sz w:val="22"/>
          <w:szCs w:val="22"/>
        </w:rPr>
        <w:t>Sociedade simples</w:t>
      </w:r>
      <w:r>
        <w:rPr>
          <w:rFonts w:cs="Calibri" w:ascii="Calibri" w:hAnsi="Calibri" w:asciiTheme="minorHAnsi" w:cstheme="minorHAnsi" w:hAnsiTheme="minorHAnsi"/>
          <w:color w:val="auto"/>
          <w:sz w:val="22"/>
          <w:szCs w:val="22"/>
        </w:rPr>
        <w:t>: inscrição do ato constitutivo no Registro Civil de Pessoas Jurídicas do local de sua sede, acompanhada de documento comprobatório de seus administradores;</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
          <w:bCs/>
          <w:color w:val="auto"/>
          <w:sz w:val="22"/>
          <w:szCs w:val="22"/>
        </w:rPr>
        <w:t>Filial, sucursal ou agência de sociedade simples ou empresária</w:t>
      </w:r>
      <w:r>
        <w:rPr>
          <w:rFonts w:cs="Calibri" w:ascii="Calibri" w:hAnsi="Calibri" w:asciiTheme="minorHAnsi" w:cstheme="minorHAnsi" w:hAnsiTheme="minorHAnsi"/>
          <w:color w:val="auto"/>
          <w:sz w:val="22"/>
          <w:szCs w:val="22"/>
        </w:rPr>
        <w:t xml:space="preserve">: inscrição do ato constitutivo da filial, sucursal ou agência da sociedade simples ou empresária, respectivamente, no Registro Civil das Pessoas Jurídicas ou no Registro Público de Empresas </w:t>
      </w:r>
      <w:bookmarkStart w:id="5" w:name="_Int_ySfCXwr4"/>
      <w:r>
        <w:rPr>
          <w:rFonts w:cs="Calibri" w:ascii="Calibri" w:hAnsi="Calibri" w:asciiTheme="minorHAnsi" w:cstheme="minorHAnsi" w:hAnsiTheme="minorHAnsi"/>
          <w:color w:val="auto"/>
          <w:sz w:val="22"/>
          <w:szCs w:val="22"/>
        </w:rPr>
        <w:t>Mercantis onde</w:t>
      </w:r>
      <w:bookmarkEnd w:id="5"/>
      <w:r>
        <w:rPr>
          <w:rFonts w:cs="Calibri" w:ascii="Calibri" w:hAnsi="Calibri" w:asciiTheme="minorHAnsi" w:cstheme="minorHAnsi" w:hAnsiTheme="minorHAnsi"/>
          <w:color w:val="auto"/>
          <w:sz w:val="22"/>
          <w:szCs w:val="22"/>
        </w:rPr>
        <w:t xml:space="preserve"> opera, com averbação no Registro onde tem sede a matriz</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b/>
          <w:bCs/>
          <w:color w:val="auto"/>
          <w:sz w:val="22"/>
          <w:szCs w:val="22"/>
        </w:rPr>
        <w:t>Sociedade cooperativa</w:t>
      </w:r>
      <w:r>
        <w:rPr>
          <w:rFonts w:cs="Calibri" w:ascii="Calibri" w:hAnsi="Calibri" w:asciiTheme="minorHAnsi" w:cstheme="minorHAnsi" w:hAnsiTheme="minorHAnsi"/>
          <w:color w:val="auto"/>
          <w:sz w:val="22"/>
          <w:szCs w:val="22"/>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Ato de autorização para o exercício da atividade de comunicação visual.</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Os documentos apresentados deverão estar acompanhados de todas as alterações ou da consolidação respectiva.</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Habilitação fiscal, social e trabalhista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Prova de inscrição no Cadastro Nacional de Pessoas Jurídicas ou no Cadastro de Pessoas Físicas, conforme o caso;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Prova de regularidade com o Fundo de Garantia do Tempo de Serviço (FGTS);</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6">
        <w:r>
          <w:rPr>
            <w:rStyle w:val="LinkdaInternet"/>
            <w:rFonts w:cs="Calibri" w:ascii="Calibri" w:hAnsi="Calibri" w:asciiTheme="minorHAnsi" w:cstheme="minorHAnsi" w:hAnsiTheme="minorHAnsi"/>
            <w:color w:val="auto"/>
            <w:sz w:val="22"/>
            <w:szCs w:val="22"/>
          </w:rPr>
          <w:t>Decreto-Lei nº 5.452, de 1º de maio de 1943;</w:t>
        </w:r>
      </w:hyperlink>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Prova de inscrição no cadastro de contribuintes [Estadual/Distrital] ou [Municipal/Distrital] relativo ao domicílio ou sede do fornecedor, pertinente ao seu ramo de atividade e compatível com o objeto contratual;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Prova de regularidade com a Fazenda [Estadual/Distrital] ou [Municipal/Distrital] do domicílio ou sede do fornecedor, relativa à atividade em cujo exercício contrata ou concorre;</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bookmarkStart w:id="6" w:name="_Hlk121934117"/>
      <w:r>
        <w:rPr>
          <w:rFonts w:cs="Calibri" w:ascii="Calibri" w:hAnsi="Calibri" w:asciiTheme="minorHAnsi" w:cstheme="minorHAnsi" w:hAnsiTheme="minorHAnsi"/>
          <w:color w:val="auto"/>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6"/>
    </w:p>
    <w:p>
      <w:pPr>
        <w:pStyle w:val="Nvel01SemNumerao"/>
        <w:shd w:val="clear" w:color="auto" w:fill="FFFFFF" w:themeFill="background1"/>
        <w:ind w:left="142" w:hanging="0"/>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Qualificação Econômico-Financeira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certidão negativa de insolvência civil expedida pelo distribuidor do domicílio ou sede do interessado, caso se trate de pessoa física, desde que admitida a sua contratação (art. 5º, inciso II, alínea “c”, da Instrução Normativa Seges/ME nº 116, de 2021), ou de sociedade simples;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certidão negativa de falência expedida pelo distribuidor da sede do fornecedor - Lei nº 14.133, de 2021, art. 69, caput, inciso II);</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Style w:val="Normaltextrun"/>
          <w:rFonts w:cs="Calibri" w:ascii="Calibri" w:hAnsi="Calibri" w:asciiTheme="minorHAnsi" w:cstheme="minorHAnsi" w:hAnsiTheme="minorHAnsi"/>
          <w:color w:val="auto"/>
          <w:sz w:val="22"/>
          <w:szCs w:val="22"/>
        </w:rPr>
        <w:t>Balanço patrimonial, demonstração de resultado de exercício e demais demonstrações contábeis dos 2 (dois) últimos exercícios sociais, comprovando: </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Style w:val="Normaltextrun"/>
          <w:rFonts w:cs="Calibri" w:ascii="Calibri" w:hAnsi="Calibri" w:asciiTheme="minorHAnsi" w:cstheme="minorHAnsi" w:hAnsiTheme="minorHAnsi"/>
          <w:sz w:val="22"/>
          <w:szCs w:val="22"/>
        </w:rPr>
        <w:t xml:space="preserve">índices de Liquidez Geral (LG), Liquidez Corrente (LC), e Solvência Geral (SG) superiores a 1 (um); </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Style w:val="Normaltextrun"/>
          <w:rFonts w:cs="Calibri" w:ascii="Calibri" w:hAnsi="Calibri" w:asciiTheme="minorHAnsi" w:cstheme="minorHAnsi" w:hAnsiTheme="minorHAnsi"/>
          <w:sz w:val="22"/>
          <w:szCs w:val="22"/>
        </w:rPr>
        <w:t xml:space="preserve">As empresas criadas no exercício financeiro da </w:t>
      </w:r>
      <w:r>
        <w:rPr>
          <w:rStyle w:val="Normaltextrun"/>
          <w:rFonts w:cs="Calibri" w:ascii="Calibri" w:hAnsi="Calibri" w:asciiTheme="minorHAnsi" w:cstheme="minorHAnsi" w:hAnsiTheme="minorHAnsi"/>
          <w:sz w:val="22"/>
          <w:szCs w:val="22"/>
          <w:shd w:fill="FFFFFF" w:val="clear"/>
        </w:rPr>
        <w:t>contratação</w:t>
      </w:r>
      <w:r>
        <w:rPr>
          <w:rStyle w:val="Normaltextrun"/>
          <w:rFonts w:cs="Calibri" w:ascii="Calibri" w:hAnsi="Calibri" w:asciiTheme="minorHAnsi" w:cstheme="minorHAnsi" w:hAnsiTheme="minorHAnsi"/>
          <w:sz w:val="22"/>
          <w:szCs w:val="22"/>
        </w:rPr>
        <w:t xml:space="preserve"> deverão atender a todas as exigências da habilitação e poderão substituir os demonstrativos contábeis pelo balanço de abertura; e</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Style w:val="Normaltextrun"/>
          <w:rFonts w:cs="Calibri" w:ascii="Calibri" w:hAnsi="Calibri" w:asciiTheme="minorHAnsi" w:cstheme="minorHAnsi" w:hAnsiTheme="minorHAnsi"/>
          <w:sz w:val="22"/>
          <w:szCs w:val="22"/>
        </w:rPr>
        <w:t>Os documentos referidos acima limitar-se-ão ao último exercício no caso de a pessoa jurídica ter sido constituída há menos de 2 (dois) anos.</w:t>
      </w:r>
      <w:r>
        <w:rPr>
          <w:rStyle w:val="Eop"/>
          <w:rFonts w:cs="Calibri" w:ascii="Calibri" w:hAnsi="Calibri" w:asciiTheme="minorHAnsi" w:cstheme="minorHAnsi" w:hAnsiTheme="minorHAnsi"/>
          <w:sz w:val="22"/>
          <w:szCs w:val="22"/>
        </w:rPr>
        <w:t> </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2"/>
        </w:rPr>
      </w:pPr>
      <w:r>
        <w:rPr>
          <w:rStyle w:val="Eop"/>
          <w:rFonts w:eastAsia="MS Mincho" w:cs="Calibri" w:ascii="Calibri" w:hAnsi="Calibri" w:asciiTheme="minorHAnsi" w:cstheme="minorHAnsi" w:hAnsiTheme="minorHAnsi"/>
          <w:sz w:val="22"/>
          <w:szCs w:val="22"/>
        </w:rPr>
        <w:t xml:space="preserve">Os documentos referidos acima deverão ser exigidos com base no limite definido pela Receita Federal do Brasil para transmissão da Escrituração Contábil Digital - ECD ao Sped.  </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Caso a empresa apresente resultado inferior ou igual a 1 (um) em qualquer dos índices de Liquidez Geral (LG), Solvência Geral (SG) e Liquidez Corrente (LC), será exigido para fins de habilitação [capital mínimo] </w:t>
      </w:r>
      <w:r>
        <w:rPr>
          <w:rFonts w:cs="Calibri" w:ascii="Calibri" w:hAnsi="Calibri" w:asciiTheme="minorHAnsi" w:cstheme="minorHAnsi" w:hAnsiTheme="minorHAnsi"/>
          <w:color w:val="auto"/>
          <w:sz w:val="22"/>
          <w:szCs w:val="22"/>
          <w:u w:val="single"/>
        </w:rPr>
        <w:t>OU</w:t>
      </w:r>
      <w:r>
        <w:rPr>
          <w:rFonts w:cs="Calibri" w:ascii="Calibri" w:hAnsi="Calibri" w:asciiTheme="minorHAnsi" w:cstheme="minorHAnsi" w:hAnsiTheme="minorHAnsi"/>
          <w:color w:val="auto"/>
          <w:sz w:val="22"/>
          <w:szCs w:val="22"/>
        </w:rPr>
        <w:t xml:space="preserve"> [patrimônio líquido mínimo] de ......% [até 10%] do [valor total estimado da contratação] </w:t>
      </w:r>
      <w:r>
        <w:rPr>
          <w:rFonts w:cs="Calibri" w:ascii="Calibri" w:hAnsi="Calibri" w:asciiTheme="minorHAnsi" w:cstheme="minorHAnsi" w:hAnsiTheme="minorHAnsi"/>
          <w:color w:val="auto"/>
          <w:sz w:val="22"/>
          <w:szCs w:val="22"/>
          <w:u w:val="single"/>
        </w:rPr>
        <w:t>OU</w:t>
      </w:r>
      <w:r>
        <w:rPr>
          <w:rFonts w:cs="Calibri" w:ascii="Calibri" w:hAnsi="Calibri" w:asciiTheme="minorHAnsi" w:cstheme="minorHAnsi" w:hAnsiTheme="minorHAnsi"/>
          <w:color w:val="auto"/>
          <w:sz w:val="22"/>
          <w:szCs w:val="22"/>
        </w:rPr>
        <w:t xml:space="preserve"> [valor total estimado da parcela pertinente].</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2"/>
        </w:rPr>
      </w:pPr>
      <w:r>
        <w:rPr>
          <w:rFonts w:cs="Calibri" w:ascii="Calibri" w:hAnsi="Calibri" w:asciiTheme="minorHAnsi" w:cstheme="minorHAnsi" w:hAnsiTheme="minorHAnsi"/>
          <w:color w:val="auto"/>
          <w:sz w:val="22"/>
          <w:szCs w:val="22"/>
        </w:rPr>
        <w:t xml:space="preserve">As empresas criadas no exercício financeiro da </w:t>
      </w:r>
      <w:r>
        <w:rPr>
          <w:rFonts w:cs="Calibri" w:ascii="Calibri" w:hAnsi="Calibri" w:asciiTheme="minorHAnsi" w:cstheme="minorHAnsi" w:hAnsiTheme="minorHAnsi"/>
          <w:color w:val="000000"/>
          <w:sz w:val="22"/>
          <w:szCs w:val="22"/>
          <w:shd w:fill="FFFFFF" w:val="clear"/>
        </w:rPr>
        <w:t>contratação d</w:t>
      </w:r>
      <w:r>
        <w:rPr>
          <w:rFonts w:cs="Calibri" w:ascii="Calibri" w:hAnsi="Calibri" w:asciiTheme="minorHAnsi" w:cstheme="minorHAnsi" w:hAnsiTheme="minorHAnsi"/>
          <w:color w:val="auto"/>
          <w:sz w:val="22"/>
          <w:szCs w:val="22"/>
        </w:rPr>
        <w:t>everão atender a todas as exigências da habilitação e poderão substituir os demonstrativos contábeis pelo balanço de abertura. (Lei nº 14.133, de 2021, art. 65, §1º).</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O atendimento dos índices econômicos previstos neste item deverá ser atestado mediante declaração assinada por profissional habilitado da área contábil, apresentada pela empresa.</w:t>
      </w:r>
    </w:p>
    <w:p>
      <w:pPr>
        <w:pStyle w:val="Nvel01SemNumerao"/>
        <w:shd w:val="clear" w:color="auto" w:fill="FFFFFF" w:themeFill="background1"/>
        <w:ind w:left="142" w:hanging="0"/>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Qualificação Técnica</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 xml:space="preserve">Declaração de que </w:t>
      </w:r>
      <w:r>
        <w:rPr>
          <w:rFonts w:cs="Calibri" w:ascii="Calibri" w:hAnsi="Calibri" w:asciiTheme="minorHAnsi" w:cstheme="minorHAnsi" w:hAnsiTheme="minorHAnsi"/>
          <w:color w:val="000000"/>
          <w:sz w:val="22"/>
          <w:szCs w:val="24"/>
          <w:shd w:fill="FFFFFF" w:val="clear"/>
        </w:rPr>
        <w:t>o interessado</w:t>
      </w:r>
      <w:r>
        <w:rPr>
          <w:rFonts w:cs="Calibri" w:ascii="Calibri" w:hAnsi="Calibri" w:asciiTheme="minorHAnsi" w:cstheme="minorHAnsi" w:hAnsiTheme="minorHAnsi"/>
          <w:color w:val="auto"/>
          <w:sz w:val="22"/>
          <w:szCs w:val="24"/>
        </w:rPr>
        <w:t xml:space="preserve"> tomou conhecimento de todas as informações e das condições locais para o cumprimento das obrigações objeto </w:t>
      </w:r>
      <w:r>
        <w:rPr>
          <w:rFonts w:cs="Calibri" w:ascii="Calibri" w:hAnsi="Calibri" w:asciiTheme="minorHAnsi" w:cstheme="minorHAnsi" w:hAnsiTheme="minorHAnsi"/>
          <w:color w:val="000000"/>
          <w:sz w:val="22"/>
          <w:szCs w:val="24"/>
          <w:shd w:fill="FFFFFF" w:val="clear"/>
        </w:rPr>
        <w:t>da contratação;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 xml:space="preserve">A declaração acima poderá ser substituída por declaração formal assinada pelo responsável técnico </w:t>
      </w:r>
      <w:r>
        <w:rPr>
          <w:rFonts w:cs="Calibri" w:ascii="Calibri" w:hAnsi="Calibri" w:asciiTheme="minorHAnsi" w:cstheme="minorHAnsi" w:hAnsiTheme="minorHAnsi"/>
          <w:color w:val="000000"/>
          <w:sz w:val="22"/>
          <w:szCs w:val="24"/>
          <w:shd w:fill="FFFFFF" w:val="clear"/>
        </w:rPr>
        <w:t>do interessado</w:t>
      </w:r>
      <w:r>
        <w:rPr>
          <w:rFonts w:cs="Calibri" w:ascii="Calibri" w:hAnsi="Calibri" w:asciiTheme="minorHAnsi" w:cstheme="minorHAnsi" w:hAnsiTheme="minorHAnsi"/>
          <w:color w:val="auto"/>
          <w:sz w:val="22"/>
          <w:szCs w:val="24"/>
        </w:rPr>
        <w:t xml:space="preserve"> acerca do conhecimento pleno das condições e peculiaridades da contratação.</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Registro ou inscrição da empresa na entidade profissional competente .........(escrever por extenso, se o caso), em plena validade;</w:t>
      </w:r>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4"/>
        </w:rPr>
      </w:pPr>
      <w:r>
        <w:rPr>
          <w:rFonts w:cs="Calibri" w:ascii="Calibri" w:hAnsi="Calibri" w:asciiTheme="minorHAnsi" w:cstheme="minorHAnsi" w:hAnsiTheme="minorHAnsi"/>
          <w:i w:val="false"/>
          <w:iCs w:val="false"/>
          <w:color w:val="auto"/>
          <w:sz w:val="22"/>
          <w:szCs w:val="24"/>
        </w:rPr>
        <w:t>Sociedades empresárias estrangeiras atenderão à exigência por meio da apresentação, no momento da assinatura do contrato, da solicitação de registro perante a entidade profissional competente no Brasil.</w:t>
      </w:r>
    </w:p>
    <w:p>
      <w:pPr>
        <w:pStyle w:val="Nvel2Red"/>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vel3R"/>
        <w:numPr>
          <w:ilvl w:val="0"/>
          <w:numId w:val="0"/>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4"/>
        </w:rPr>
      </w:pPr>
      <w:r>
        <w:rPr>
          <w:rFonts w:cs="Calibri" w:cstheme="minorHAnsi" w:ascii="Calibri" w:hAnsi="Calibri"/>
          <w:i w:val="false"/>
          <w:iCs w:val="false"/>
          <w:color w:val="auto"/>
          <w:sz w:val="22"/>
          <w:szCs w:val="24"/>
        </w:rPr>
      </w:r>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4"/>
        </w:rPr>
      </w:pPr>
      <w:r>
        <w:rPr>
          <w:rFonts w:cs="Calibri" w:ascii="Calibri" w:hAnsi="Calibri" w:asciiTheme="minorHAnsi" w:cstheme="minorHAnsi" w:hAnsiTheme="minorHAnsi"/>
          <w:i w:val="false"/>
          <w:iCs w:val="false"/>
          <w:color w:val="auto"/>
          <w:sz w:val="22"/>
          <w:szCs w:val="24"/>
        </w:rPr>
        <w:t>Será admitida, para fins de comprovação de quantitativo mínimo, a apresentação e o somatório de diferentes atestados executados de forma concomitante.</w:t>
      </w:r>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4"/>
        </w:rPr>
      </w:pPr>
      <w:r>
        <w:rPr>
          <w:rFonts w:cs="Calibri" w:ascii="Calibri" w:hAnsi="Calibri" w:asciiTheme="minorHAnsi" w:cstheme="minorHAnsi" w:hAnsiTheme="minorHAnsi"/>
          <w:i w:val="false"/>
          <w:iCs w:val="false"/>
          <w:color w:val="auto"/>
          <w:sz w:val="22"/>
          <w:szCs w:val="24"/>
        </w:rPr>
        <w:t>Os atestados de capacidade técnica poderão ser apresentados em nome da matriz ou da filial da empresa interessada.</w:t>
      </w:r>
    </w:p>
    <w:p>
      <w:pPr>
        <w:pStyle w:val="Nvel3R"/>
        <w:numPr>
          <w:ilvl w:val="2"/>
          <w:numId w:val="2"/>
        </w:numPr>
        <w:shd w:val="clear" w:color="auto" w:fill="FFFFFF" w:themeFill="background1"/>
        <w:ind w:left="142" w:hanging="0"/>
        <w:rPr>
          <w:rFonts w:ascii="Calibri" w:hAnsi="Calibri" w:cs="Calibri" w:asciiTheme="minorHAnsi" w:cstheme="minorHAnsi" w:hAnsiTheme="minorHAnsi"/>
          <w:i w:val="false"/>
          <w:i w:val="false"/>
          <w:iCs w:val="false"/>
          <w:color w:val="auto"/>
          <w:sz w:val="22"/>
          <w:szCs w:val="24"/>
        </w:rPr>
      </w:pPr>
      <w:r>
        <w:rPr>
          <w:rFonts w:cs="Calibri" w:ascii="Calibri" w:hAnsi="Calibri" w:asciiTheme="minorHAnsi" w:cstheme="minorHAnsi" w:hAnsiTheme="minorHAnsi"/>
          <w:i w:val="false"/>
          <w:iCs w:val="false"/>
          <w:color w:val="auto"/>
          <w:sz w:val="22"/>
          <w:szCs w:val="24"/>
        </w:rPr>
        <w:t>O interessado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Caso admitida a participação de cooperativas, será exigida a seguinte documentação complementar:</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A declaração de regularidade de situação do contribuinte individual – DRSCI, para cada um dos cooperados indicados;</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 xml:space="preserve">A comprovação do capital social proporcional ao número de cooperados necessários à prestação do serviço; </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O registro previsto na Lei n. 5.764, de 1971, art. 107;</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 xml:space="preserve"> </w:t>
      </w:r>
      <w:r>
        <w:rPr>
          <w:rFonts w:cs="Calibri" w:ascii="Calibri" w:hAnsi="Calibri" w:asciiTheme="minorHAnsi" w:cstheme="minorHAnsi" w:hAnsiTheme="minorHAnsi"/>
          <w:sz w:val="22"/>
          <w:szCs w:val="24"/>
        </w:rPr>
        <w:t>A comprovação de integração das respectivas quotas-partes por parte dos cooperados que executarão o contrato;</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w:t>
      </w:r>
      <w:r>
        <w:rPr>
          <w:rFonts w:cs="Calibri" w:ascii="Calibri" w:hAnsi="Calibri" w:asciiTheme="minorHAnsi" w:cstheme="minorHAnsi" w:hAnsiTheme="minorHAnsi"/>
          <w:sz w:val="22"/>
          <w:szCs w:val="24"/>
          <w:shd w:fill="FFFFFF" w:val="clear"/>
        </w:rPr>
        <w:t>contratação direta;</w:t>
      </w:r>
      <w:r>
        <w:rPr>
          <w:rFonts w:cs="Calibri" w:ascii="Calibri" w:hAnsi="Calibri" w:asciiTheme="minorHAnsi" w:cstheme="minorHAnsi" w:hAnsiTheme="minorHAnsi"/>
          <w:sz w:val="22"/>
          <w:szCs w:val="24"/>
        </w:rPr>
        <w:t xml:space="preserve"> e</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bookmarkStart w:id="7" w:name="_Hlk82473550"/>
      <w:r>
        <w:rPr>
          <w:rFonts w:cs="Calibri" w:ascii="Calibri" w:hAnsi="Calibri" w:asciiTheme="minorHAnsi" w:cstheme="minorHAnsi" w:hAnsiTheme="minorHAnsi"/>
          <w:sz w:val="22"/>
          <w:szCs w:val="24"/>
        </w:rPr>
        <w:t>A última auditoria contábil-financeira da cooperativa, conforme dispõe o art. 112 da Lei n. 5.764, de 1971, ou uma declaração, sob as penas da lei, de que tal auditoria não foi exigida pelo órgão fiscalizador</w:t>
      </w:r>
      <w:bookmarkEnd w:id="7"/>
    </w:p>
    <w:p>
      <w:pPr>
        <w:pStyle w:val="Nivel01"/>
        <w:numPr>
          <w:ilvl w:val="0"/>
          <w:numId w:val="2"/>
        </w:numPr>
        <w:shd w:val="clear" w:color="auto" w:fill="FFFFFF" w:themeFill="background1"/>
        <w:ind w:left="142" w:hanging="36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ESTIMATIVAS DO VALOR DA CONTRATAÇÃO</w:t>
      </w:r>
    </w:p>
    <w:p>
      <w:pPr>
        <w:pStyle w:val="Nivel2"/>
        <w:numPr>
          <w:ilvl w:val="1"/>
          <w:numId w:val="2"/>
        </w:numPr>
        <w:shd w:val="clear" w:color="auto" w:fill="FFFFFF" w:themeFill="background1"/>
        <w:ind w:left="142" w:hanging="432"/>
        <w:rPr>
          <w:rFonts w:ascii="Calibri" w:hAnsi="Calibri" w:cs="Calibri" w:asciiTheme="minorHAnsi" w:cstheme="minorHAnsi" w:hAnsiTheme="minorHAnsi"/>
          <w:sz w:val="22"/>
          <w:szCs w:val="24"/>
        </w:rPr>
      </w:pPr>
      <w:r>
        <w:rPr>
          <w:rFonts w:cs="Calibri" w:ascii="Calibri" w:hAnsi="Calibri" w:asciiTheme="minorHAnsi" w:cstheme="minorHAnsi" w:hAnsiTheme="minorHAnsi"/>
          <w:color w:val="auto"/>
          <w:sz w:val="22"/>
          <w:szCs w:val="24"/>
        </w:rPr>
        <w:t xml:space="preserve">O custo estimado total da contratação é de </w:t>
      </w:r>
      <w:r>
        <w:rPr>
          <w:rFonts w:cs="Calibri" w:ascii="Calibri" w:hAnsi="Calibri" w:asciiTheme="minorHAnsi" w:cstheme="minorHAnsi" w:hAnsiTheme="minorHAnsi"/>
          <w:color w:val="000000" w:themeColor="text1"/>
          <w:sz w:val="22"/>
          <w:szCs w:val="24"/>
        </w:rPr>
        <w:t>R$ 154,40 (Cento e cinquenta e quatro reais e quarenta centavos)</w:t>
      </w:r>
      <w:r>
        <w:rPr>
          <w:rFonts w:cs="Calibri" w:ascii="Calibri" w:hAnsi="Calibri" w:asciiTheme="minorHAnsi" w:cstheme="minorHAnsi" w:hAnsiTheme="minorHAnsi"/>
          <w:sz w:val="22"/>
          <w:szCs w:val="24"/>
        </w:rPr>
        <w:t>.</w:t>
      </w:r>
    </w:p>
    <w:p>
      <w:pPr>
        <w:pStyle w:val="Nivel01"/>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rPr>
        <w:t>ADEQUAÇÃO ORÇAMENTÁRIA</w:t>
      </w:r>
    </w:p>
    <w:p>
      <w:pPr>
        <w:pStyle w:val="Nivel2"/>
        <w:numPr>
          <w:ilvl w:val="1"/>
          <w:numId w:val="2"/>
        </w:numPr>
        <w:shd w:val="clear" w:color="auto" w:fill="FFFFFF" w:themeFill="background1"/>
        <w:ind w:left="142" w:hanging="432"/>
        <w:rPr>
          <w:rFonts w:ascii="Calibri" w:hAnsi="Calibri" w:cs="Calibri" w:asciiTheme="minorHAnsi" w:cstheme="minorHAnsi" w:hAnsiTheme="minorHAnsi"/>
          <w:color w:val="auto"/>
          <w:sz w:val="22"/>
          <w:szCs w:val="24"/>
        </w:rPr>
      </w:pPr>
      <w:r>
        <w:rPr>
          <w:rFonts w:cs="Calibri" w:ascii="Calibri" w:hAnsi="Calibri" w:asciiTheme="minorHAnsi" w:cstheme="minorHAnsi" w:hAnsiTheme="minorHAnsi"/>
          <w:color w:val="auto"/>
          <w:sz w:val="22"/>
          <w:szCs w:val="24"/>
        </w:rPr>
        <w:t>As despesas decorrentes da presente contratação ocorrerão à conta de recursos específicos consignados no Orçamento Geral da União.</w:t>
      </w:r>
    </w:p>
    <w:p>
      <w:pPr>
        <w:pStyle w:val="Nivel3"/>
        <w:numPr>
          <w:ilvl w:val="2"/>
          <w:numId w:val="2"/>
        </w:numPr>
        <w:shd w:val="clear" w:color="auto" w:fill="FFFFFF" w:themeFill="background1"/>
        <w:ind w:left="142" w:hanging="0"/>
        <w:rPr>
          <w:rFonts w:ascii="Calibri" w:hAnsi="Calibri" w:cs="Calibri" w:asciiTheme="minorHAnsi" w:cstheme="minorHAnsi" w:hAnsiTheme="minorHAnsi"/>
          <w:sz w:val="22"/>
          <w:szCs w:val="24"/>
        </w:rPr>
      </w:pPr>
      <w:r>
        <w:rPr>
          <w:rFonts w:cs="Calibri" w:ascii="Calibri" w:hAnsi="Calibri" w:asciiTheme="minorHAnsi" w:cstheme="minorHAnsi" w:hAnsiTheme="minorHAnsi"/>
          <w:sz w:val="22"/>
          <w:szCs w:val="24"/>
          <w:highlight w:val="yellow"/>
        </w:rPr>
        <w:t>A contratação</w:t>
      </w:r>
      <w:r>
        <w:rPr>
          <w:rFonts w:cs="Calibri" w:ascii="Calibri" w:hAnsi="Calibri" w:asciiTheme="minorHAnsi" w:cstheme="minorHAnsi" w:hAnsiTheme="minorHAnsi"/>
          <w:sz w:val="22"/>
          <w:szCs w:val="24"/>
        </w:rPr>
        <w:t xml:space="preserve"> será atendida pela seguinte dotação:</w:t>
      </w:r>
    </w:p>
    <w:p>
      <w:pPr>
        <w:pStyle w:val="ListParagraph"/>
        <w:numPr>
          <w:ilvl w:val="0"/>
          <w:numId w:val="3"/>
        </w:numPr>
        <w:shd w:val="clear" w:color="auto" w:fill="FFFFFF" w:themeFill="background1"/>
        <w:spacing w:lineRule="auto" w:line="276" w:before="120" w:after="120"/>
        <w:ind w:left="142" w:hanging="0"/>
        <w:contextualSpacing/>
        <w:jc w:val="both"/>
        <w:rPr>
          <w:rFonts w:ascii="Calibri" w:hAnsi="Calibri" w:cs="Calibri" w:asciiTheme="minorHAnsi" w:cstheme="minorHAnsi" w:hAnsiTheme="minorHAnsi"/>
          <w:color w:val="000000" w:themeColor="text1"/>
          <w:sz w:val="22"/>
          <w:highlight w:val="yellow"/>
        </w:rPr>
      </w:pPr>
      <w:r>
        <w:rPr>
          <w:rFonts w:eastAsia="Arial" w:cs="Calibri" w:ascii="Calibri" w:hAnsi="Calibri" w:asciiTheme="minorHAnsi" w:cstheme="minorHAnsi" w:hAnsiTheme="minorHAnsi"/>
          <w:color w:val="000000" w:themeColor="text1"/>
          <w:sz w:val="22"/>
          <w:highlight w:val="yellow"/>
        </w:rPr>
        <w:t>Gestão/Unidade: 00001;</w:t>
      </w:r>
    </w:p>
    <w:p>
      <w:pPr>
        <w:pStyle w:val="ListParagraph"/>
        <w:numPr>
          <w:ilvl w:val="0"/>
          <w:numId w:val="3"/>
        </w:numPr>
        <w:shd w:val="clear" w:color="auto" w:fill="FFFFFF" w:themeFill="background1"/>
        <w:spacing w:lineRule="auto" w:line="276" w:before="120" w:after="120"/>
        <w:ind w:left="142" w:hanging="0"/>
        <w:contextualSpacing/>
        <w:jc w:val="both"/>
        <w:rPr>
          <w:rFonts w:ascii="Calibri" w:hAnsi="Calibri" w:cs="Calibri" w:asciiTheme="minorHAnsi" w:cstheme="minorHAnsi" w:hAnsiTheme="minorHAnsi"/>
          <w:color w:val="000000" w:themeColor="text1"/>
          <w:sz w:val="22"/>
          <w:highlight w:val="yellow"/>
        </w:rPr>
      </w:pPr>
      <w:r>
        <w:rPr>
          <w:rFonts w:eastAsia="Arial" w:cs="Calibri" w:ascii="Calibri" w:hAnsi="Calibri" w:asciiTheme="minorHAnsi" w:cstheme="minorHAnsi" w:hAnsiTheme="minorHAnsi"/>
          <w:color w:val="000000" w:themeColor="text1"/>
          <w:sz w:val="22"/>
          <w:highlight w:val="yellow"/>
        </w:rPr>
        <w:t>Fonte de Recursos: 1000000000;</w:t>
      </w:r>
    </w:p>
    <w:p>
      <w:pPr>
        <w:pStyle w:val="ListParagraph"/>
        <w:numPr>
          <w:ilvl w:val="0"/>
          <w:numId w:val="3"/>
        </w:numPr>
        <w:shd w:val="clear" w:color="auto" w:fill="FFFFFF" w:themeFill="background1"/>
        <w:spacing w:lineRule="auto" w:line="276" w:before="120" w:after="120"/>
        <w:ind w:left="142" w:hanging="0"/>
        <w:contextualSpacing/>
        <w:jc w:val="both"/>
        <w:rPr>
          <w:rFonts w:ascii="Calibri" w:hAnsi="Calibri" w:cs="Calibri" w:asciiTheme="minorHAnsi" w:cstheme="minorHAnsi" w:hAnsiTheme="minorHAnsi"/>
          <w:color w:val="000000" w:themeColor="text1"/>
          <w:sz w:val="22"/>
          <w:highlight w:val="yellow"/>
        </w:rPr>
      </w:pPr>
      <w:r>
        <w:rPr>
          <w:rFonts w:eastAsia="Arial" w:cs="Calibri" w:ascii="Calibri" w:hAnsi="Calibri" w:asciiTheme="minorHAnsi" w:cstheme="minorHAnsi" w:hAnsiTheme="minorHAnsi"/>
          <w:color w:val="000000" w:themeColor="text1"/>
          <w:sz w:val="22"/>
          <w:highlight w:val="yellow"/>
        </w:rPr>
        <w:t>Programa de Trabalho: 160539;</w:t>
      </w:r>
    </w:p>
    <w:p>
      <w:pPr>
        <w:pStyle w:val="ListParagraph"/>
        <w:numPr>
          <w:ilvl w:val="0"/>
          <w:numId w:val="3"/>
        </w:numPr>
        <w:shd w:val="clear" w:color="auto" w:fill="FFFFFF" w:themeFill="background1"/>
        <w:spacing w:lineRule="auto" w:line="276" w:before="120" w:after="120"/>
        <w:ind w:left="142" w:hanging="0"/>
        <w:contextualSpacing/>
        <w:jc w:val="both"/>
        <w:rPr>
          <w:rFonts w:ascii="Calibri" w:hAnsi="Calibri" w:cs="Calibri" w:asciiTheme="minorHAnsi" w:cstheme="minorHAnsi" w:hAnsiTheme="minorHAnsi"/>
          <w:color w:val="000000" w:themeColor="text1"/>
          <w:sz w:val="22"/>
          <w:highlight w:val="yellow"/>
        </w:rPr>
      </w:pPr>
      <w:r>
        <w:rPr>
          <w:rFonts w:eastAsia="Arial" w:cs="Calibri" w:ascii="Calibri" w:hAnsi="Calibri" w:asciiTheme="minorHAnsi" w:cstheme="minorHAnsi" w:hAnsiTheme="minorHAnsi"/>
          <w:color w:val="000000" w:themeColor="text1"/>
          <w:sz w:val="22"/>
          <w:highlight w:val="yellow"/>
        </w:rPr>
        <w:t>Elemento de Despesa: 339039;</w:t>
      </w:r>
    </w:p>
    <w:p>
      <w:pPr>
        <w:pStyle w:val="ListParagraph"/>
        <w:numPr>
          <w:ilvl w:val="0"/>
          <w:numId w:val="3"/>
        </w:numPr>
        <w:shd w:val="clear" w:color="auto" w:fill="FFFFFF" w:themeFill="background1"/>
        <w:spacing w:lineRule="auto" w:line="276" w:before="120" w:after="120"/>
        <w:ind w:left="142" w:hanging="0"/>
        <w:contextualSpacing/>
        <w:jc w:val="both"/>
        <w:rPr>
          <w:rFonts w:ascii="Calibri" w:hAnsi="Calibri" w:cs="Calibri" w:asciiTheme="minorHAnsi" w:cstheme="minorHAnsi" w:hAnsiTheme="minorHAnsi"/>
          <w:color w:val="000000" w:themeColor="text1"/>
          <w:sz w:val="22"/>
          <w:highlight w:val="yellow"/>
        </w:rPr>
      </w:pPr>
      <w:r>
        <w:rPr>
          <w:rFonts w:eastAsia="Arial" w:cs="Calibri" w:ascii="Calibri" w:hAnsi="Calibri" w:asciiTheme="minorHAnsi" w:cstheme="minorHAnsi" w:hAnsiTheme="minorHAnsi"/>
          <w:color w:val="000000" w:themeColor="text1"/>
          <w:sz w:val="22"/>
          <w:highlight w:val="yellow"/>
        </w:rPr>
        <w:t>Plano Interno: FAOPPRECDOT.</w:t>
      </w:r>
      <w:bookmarkStart w:id="8" w:name="_Hlk82471863"/>
      <w:bookmarkEnd w:id="8"/>
    </w:p>
    <w:p>
      <w:pPr>
        <w:pStyle w:val="Nivel2"/>
        <w:numPr>
          <w:ilvl w:val="0"/>
          <w:numId w:val="0"/>
        </w:numPr>
        <w:shd w:val="clear" w:color="auto" w:fill="FFFFFF" w:themeFill="background1"/>
        <w:ind w:left="142" w:hanging="0"/>
        <w:rPr>
          <w:rFonts w:ascii="Calibri" w:hAnsi="Calibri" w:cs="Calibri" w:asciiTheme="minorHAnsi" w:cstheme="minorHAnsi" w:hAnsiTheme="minorHAnsi"/>
          <w:color w:val="auto"/>
          <w:sz w:val="22"/>
          <w:szCs w:val="24"/>
        </w:rPr>
      </w:pPr>
      <w:r>
        <w:rPr>
          <w:rFonts w:cs="Calibri" w:cstheme="minorHAnsi" w:ascii="Calibri" w:hAnsi="Calibri"/>
          <w:color w:val="auto"/>
          <w:sz w:val="22"/>
          <w:szCs w:val="24"/>
        </w:rPr>
      </w:r>
    </w:p>
    <w:p>
      <w:pPr>
        <w:pStyle w:val="Nivel2"/>
        <w:numPr>
          <w:ilvl w:val="0"/>
          <w:numId w:val="0"/>
        </w:numPr>
        <w:shd w:val="clear" w:color="auto" w:fill="FFFFFF" w:themeFill="background1"/>
        <w:ind w:left="142" w:hanging="0"/>
        <w:rPr>
          <w:rFonts w:ascii="Calibri" w:hAnsi="Calibri" w:cs="Calibri" w:asciiTheme="minorHAnsi" w:cstheme="minorHAnsi" w:hAnsiTheme="minorHAnsi"/>
          <w:color w:val="000000" w:themeColor="text1"/>
          <w:sz w:val="22"/>
          <w:szCs w:val="24"/>
        </w:rPr>
      </w:pPr>
      <w:r>
        <mc:AlternateContent>
          <mc:Choice Requires="wps">
            <w:drawing>
              <wp:anchor behindDoc="0" distT="0" distB="0" distL="0" distR="0" simplePos="0" locked="0" layoutInCell="0" allowOverlap="1" relativeHeight="3" wp14:anchorId="709D9D25">
                <wp:simplePos x="0" y="0"/>
                <wp:positionH relativeFrom="column">
                  <wp:posOffset>-196215</wp:posOffset>
                </wp:positionH>
                <wp:positionV relativeFrom="paragraph">
                  <wp:posOffset>222885</wp:posOffset>
                </wp:positionV>
                <wp:extent cx="6717030" cy="3966845"/>
                <wp:effectExtent l="0" t="0" r="8255" b="15240"/>
                <wp:wrapNone/>
                <wp:docPr id="2" name="Quadro de texto 1"/>
                <a:graphic xmlns:a="http://schemas.openxmlformats.org/drawingml/2006/main">
                  <a:graphicData uri="http://schemas.microsoft.com/office/word/2010/wordprocessingShape">
                    <wps:wsp>
                      <wps:cNvSpPr/>
                      <wps:spPr>
                        <a:xfrm>
                          <a:off x="0" y="0"/>
                          <a:ext cx="6716520" cy="3966120"/>
                        </a:xfrm>
                        <a:prstGeom prst="rect">
                          <a:avLst/>
                        </a:prstGeom>
                        <a:noFill/>
                        <a:ln w="0">
                          <a:noFill/>
                        </a:ln>
                      </wps:spPr>
                      <wps:style>
                        <a:lnRef idx="0"/>
                        <a:fillRef idx="0"/>
                        <a:effectRef idx="0"/>
                        <a:fontRef idx="minor"/>
                      </wps:style>
                      <wps:txbx>
                        <w:txbxContent>
                          <w:p>
                            <w:pPr>
                              <w:pStyle w:val="Contedodoquadro"/>
                              <w:numPr>
                                <w:ilvl w:val="1"/>
                                <w:numId w:val="2"/>
                              </w:numPr>
                              <w:ind w:left="999" w:hanging="432"/>
                              <w:jc w:val="center"/>
                              <w:rPr>
                                <w:rFonts w:ascii="Calibri" w:hAnsi="Calibri" w:eastAsia="Noto Sans CJK SC Regular" w:cs="Calibri"/>
                                <w:b/>
                                <w:b/>
                                <w:kern w:val="2"/>
                                <w:lang w:bidi="hi-IN"/>
                              </w:rPr>
                            </w:pPr>
                            <w:r>
                              <w:rPr>
                                <w:rFonts w:eastAsia="Noto Sans CJK SC Regular" w:cs="Calibri" w:ascii="Calibri" w:hAnsi="Calibri"/>
                                <w:b/>
                                <w:kern w:val="2"/>
                                <w:lang w:bidi="hi-IN"/>
                              </w:rPr>
                            </w:r>
                          </w:p>
                          <w:p>
                            <w:pPr>
                              <w:pStyle w:val="Contedodoquadro"/>
                              <w:numPr>
                                <w:ilvl w:val="1"/>
                                <w:numId w:val="2"/>
                              </w:numPr>
                              <w:ind w:left="999" w:hanging="432"/>
                              <w:jc w:val="center"/>
                              <w:rPr>
                                <w:rFonts w:ascii="Calibri" w:hAnsi="Calibri" w:eastAsia="Noto Sans CJK SC Regular" w:cs="Calibri"/>
                                <w:b/>
                                <w:b/>
                                <w:kern w:val="2"/>
                                <w:lang w:bidi="hi-IN"/>
                              </w:rPr>
                            </w:pPr>
                            <w:r>
                              <w:rPr>
                                <w:rFonts w:eastAsia="Noto Sans CJK SC Regular" w:cs="Calibri" w:ascii="Calibri" w:hAnsi="Calibri"/>
                                <w:b/>
                                <w:kern w:val="2"/>
                                <w:lang w:bidi="hi-IN"/>
                              </w:rPr>
                            </w:r>
                          </w:p>
                          <w:p>
                            <w:pPr>
                              <w:pStyle w:val="Contedodoquadro"/>
                              <w:numPr>
                                <w:ilvl w:val="1"/>
                                <w:numId w:val="2"/>
                              </w:numPr>
                              <w:ind w:left="999" w:hanging="432"/>
                              <w:jc w:val="center"/>
                              <w:rPr>
                                <w:rFonts w:ascii="Calibri" w:hAnsi="Calibri" w:cs="Calibri"/>
                                <w:sz w:val="20"/>
                                <w:szCs w:val="22"/>
                                <w:highlight w:val="yellow"/>
                              </w:rPr>
                            </w:pPr>
                            <w:r>
                              <w:rPr>
                                <w:rFonts w:eastAsia="Noto Sans CJK SC Regular" w:cs="Calibri" w:ascii="Calibri" w:hAnsi="Calibri"/>
                                <w:b/>
                                <w:kern w:val="2"/>
                                <w:sz w:val="22"/>
                                <w:lang w:bidi="hi-IN"/>
                              </w:rPr>
                              <w:t>LEANDRO LEITE DE ALMEIDA–</w:t>
                            </w:r>
                            <w:r>
                              <w:rPr>
                                <w:rFonts w:cs="Calibri" w:ascii="Calibri" w:hAnsi="Calibri"/>
                                <w:b/>
                                <w:sz w:val="22"/>
                                <w:lang w:eastAsia="ar-SA"/>
                              </w:rPr>
                              <w:t xml:space="preserve"> </w:t>
                            </w:r>
                            <w:r>
                              <w:rPr>
                                <w:rFonts w:eastAsia="Noto Sans CJK SC Regular" w:cs="Calibri" w:ascii="Calibri" w:hAnsi="Calibri"/>
                                <w:b/>
                                <w:kern w:val="2"/>
                                <w:sz w:val="22"/>
                                <w:lang w:bidi="hi-IN"/>
                              </w:rPr>
                              <w:t>Maj</w:t>
                            </w:r>
                          </w:p>
                          <w:p>
                            <w:pPr>
                              <w:pStyle w:val="Contedodoquadro"/>
                              <w:ind w:left="709" w:hanging="0"/>
                              <w:jc w:val="center"/>
                              <w:rPr>
                                <w:rFonts w:ascii="Arial" w:hAnsi="Arial" w:cs="Arial"/>
                                <w:color w:val="000000" w:themeColor="text1"/>
                                <w:sz w:val="22"/>
                                <w:lang w:eastAsia="en-US"/>
                              </w:rPr>
                            </w:pPr>
                            <w:r>
                              <w:rPr>
                                <w:rFonts w:cs="Arial" w:ascii="Arial" w:hAnsi="Arial"/>
                                <w:color w:val="FF0000"/>
                                <w:sz w:val="22"/>
                                <w:lang w:eastAsia="en-US"/>
                              </w:rPr>
                              <w:t xml:space="preserve"> </w:t>
                            </w:r>
                            <w:r>
                              <w:rPr>
                                <w:rFonts w:cs="Arial" w:ascii="Arial" w:hAnsi="Arial"/>
                                <w:color w:val="000000" w:themeColor="text1"/>
                                <w:sz w:val="22"/>
                                <w:lang w:eastAsia="en-US"/>
                              </w:rPr>
                              <w:t>Chefe da Equipe de Planejamento da Contratação (EPC)</w:t>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Contedodoquadro"/>
                              <w:suppressAutoHyphens w:val="false"/>
                              <w:jc w:val="center"/>
                              <w:rPr>
                                <w:sz w:val="22"/>
                              </w:rPr>
                            </w:pPr>
                            <w:r>
                              <w:rPr>
                                <w:rFonts w:cs="Calibri" w:ascii="Calibri" w:hAnsi="Calibri"/>
                                <w:b/>
                                <w:bCs/>
                                <w:color w:val="000000"/>
                                <w:sz w:val="22"/>
                                <w:szCs w:val="28"/>
                              </w:rPr>
                              <w:t>CECÍLIA</w:t>
                            </w:r>
                            <w:r>
                              <w:rPr>
                                <w:rFonts w:cs="Calibri" w:ascii="Calibri" w:hAnsi="Calibri"/>
                                <w:color w:val="000000"/>
                                <w:sz w:val="22"/>
                                <w:szCs w:val="28"/>
                              </w:rPr>
                              <w:t xml:space="preserve"> </w:t>
                            </w:r>
                            <w:r>
                              <w:rPr>
                                <w:rFonts w:cs="Calibri" w:ascii="Calibri" w:hAnsi="Calibri"/>
                                <w:b/>
                                <w:color w:val="000000"/>
                                <w:sz w:val="22"/>
                                <w:szCs w:val="28"/>
                              </w:rPr>
                              <w:t>MARIA XAVIER PEREIRA-3º Sgt</w:t>
                            </w:r>
                          </w:p>
                          <w:p>
                            <w:pPr>
                              <w:pStyle w:val="Contedodoquadro"/>
                              <w:ind w:left="709" w:hanging="0"/>
                              <w:jc w:val="center"/>
                              <w:rPr>
                                <w:rFonts w:ascii="Arial" w:hAnsi="Arial" w:cs="Arial"/>
                                <w:color w:val="000000" w:themeColor="text1"/>
                                <w:sz w:val="22"/>
                                <w:lang w:eastAsia="en-US"/>
                              </w:rPr>
                            </w:pPr>
                            <w:r>
                              <w:rPr>
                                <w:rFonts w:cs="Arial" w:ascii="Arial" w:hAnsi="Arial"/>
                                <w:color w:val="000000" w:themeColor="text1"/>
                                <w:sz w:val="22"/>
                                <w:lang w:eastAsia="en-US"/>
                              </w:rPr>
                              <w:t>Integrante EPC</w:t>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Standard"/>
                              <w:shd w:val="clear" w:color="auto" w:fill="FFFFFF"/>
                              <w:snapToGrid w:val="false"/>
                              <w:jc w:val="center"/>
                              <w:rPr>
                                <w:rFonts w:ascii="Calibri" w:hAnsi="Calibri" w:cs="Calibri"/>
                                <w:b/>
                                <w:b/>
                                <w:bCs/>
                                <w:sz w:val="22"/>
                                <w:szCs w:val="22"/>
                                <w:shd w:fill="FFFFFF" w:val="clear"/>
                              </w:rPr>
                            </w:pPr>
                            <w:r>
                              <w:rPr>
                                <w:rFonts w:cs="Calibri" w:ascii="Calibri" w:hAnsi="Calibri"/>
                                <w:b/>
                                <w:bCs/>
                                <w:sz w:val="22"/>
                                <w:szCs w:val="22"/>
                                <w:highlight w:val="yellow"/>
                                <w:shd w:fill="FFFFFF" w:val="clear"/>
                              </w:rPr>
                              <w:t>ADINAEL SENA LIMA-CB</w:t>
                            </w:r>
                          </w:p>
                          <w:p>
                            <w:pPr>
                              <w:pStyle w:val="Standard"/>
                              <w:shd w:val="clear" w:color="auto" w:fill="FFFFFF"/>
                              <w:snapToGrid w:val="false"/>
                              <w:jc w:val="center"/>
                              <w:rPr>
                                <w:rFonts w:ascii="Arial" w:hAnsi="Arial" w:cs="Arial"/>
                                <w:color w:val="FF0000"/>
                                <w:sz w:val="22"/>
                                <w:lang w:eastAsia="en-US"/>
                              </w:rPr>
                            </w:pPr>
                            <w:r>
                              <w:rPr>
                                <w:rFonts w:cs="Arial" w:ascii="Arial" w:hAnsi="Arial"/>
                                <w:color w:val="FF0000"/>
                                <w:sz w:val="22"/>
                                <w:lang w:eastAsia="en-US"/>
                              </w:rPr>
                              <w:t xml:space="preserve">  </w:t>
                            </w:r>
                            <w:r>
                              <w:rPr>
                                <w:rFonts w:cs="Arial" w:ascii="Arial" w:hAnsi="Arial"/>
                                <w:color w:val="000000" w:themeColor="text1"/>
                                <w:sz w:val="22"/>
                                <w:lang w:eastAsia="en-US"/>
                              </w:rPr>
                              <w:t>Integrante EPC</w:t>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rFonts w:ascii="Arial" w:hAnsi="Arial" w:cs="Arial"/>
                                <w:sz w:val="22"/>
                                <w:lang w:eastAsia="en-US"/>
                              </w:rPr>
                            </w:pPr>
                            <w:r>
                              <w:rPr>
                                <w:rFonts w:cs="Arial" w:ascii="Arial" w:hAnsi="Arial"/>
                                <w:sz w:val="22"/>
                                <w:lang w:eastAsia="en-US"/>
                              </w:rPr>
                              <w:t>APROVAÇÃO DO ORDENADOR DE DESPESAS:</w:t>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rFonts w:ascii="Arial" w:hAnsi="Arial" w:cs="Arial"/>
                                <w:sz w:val="22"/>
                                <w:lang w:eastAsia="en-US"/>
                              </w:rPr>
                            </w:pPr>
                            <w:r>
                              <w:rPr>
                                <w:rFonts w:cs="Arial" w:ascii="Arial" w:hAnsi="Arial"/>
                                <w:sz w:val="22"/>
                                <w:lang w:eastAsia="en-US"/>
                              </w:rPr>
                              <w:t>SANDRO ROGÉRIO FERREIRA GOMES - Cel</w:t>
                            </w:r>
                          </w:p>
                          <w:p>
                            <w:pPr>
                              <w:pStyle w:val="Contedodoquadro"/>
                              <w:ind w:left="709" w:hanging="0"/>
                              <w:jc w:val="center"/>
                              <w:rPr>
                                <w:rFonts w:ascii="Arial" w:hAnsi="Arial" w:cs="Arial"/>
                                <w:sz w:val="22"/>
                                <w:lang w:eastAsia="en-US"/>
                              </w:rPr>
                            </w:pPr>
                            <w:r>
                              <w:rPr>
                                <w:rFonts w:cs="Arial" w:ascii="Arial" w:hAnsi="Arial"/>
                                <w:sz w:val="22"/>
                                <w:lang w:eastAsia="en-US"/>
                              </w:rPr>
                              <w:t xml:space="preserve"> </w:t>
                            </w:r>
                            <w:r>
                              <w:rPr>
                                <w:rFonts w:cs="Arial" w:ascii="Arial" w:hAnsi="Arial"/>
                                <w:sz w:val="22"/>
                                <w:lang w:eastAsia="en-US"/>
                              </w:rPr>
                              <w:t>Ordenador de Despesas do Cmdo CMA</w:t>
                            </w:r>
                            <w:r>
                              <w:br w:type="page"/>
                            </w:r>
                          </w:p>
                          <w:p>
                            <w:pPr>
                              <w:pStyle w:val="Contedodoquadro"/>
                              <w:ind w:left="709" w:hanging="0"/>
                              <w:jc w:val="center"/>
                              <w:rPr/>
                            </w:pPr>
                            <w:r>
                              <w:rPr/>
                            </w:r>
                          </w:p>
                        </w:txbxContent>
                      </wps:txbx>
                      <wps:bodyPr lIns="0" rIns="0" tIns="0" bIns="0">
                        <a:noAutofit/>
                      </wps:bodyPr>
                    </wps:wsp>
                  </a:graphicData>
                </a:graphic>
              </wp:anchor>
            </w:drawing>
          </mc:Choice>
          <mc:Fallback>
            <w:pict>
              <v:rect id="shape_0" ID="Quadro de texto 1" stroked="f" style="position:absolute;margin-left:-15.45pt;margin-top:17.55pt;width:528.8pt;height:312.25pt;v-text-anchor:top" wp14:anchorId="709D9D25">
                <w10:wrap type="none"/>
                <v:fill o:detectmouseclick="t" on="false"/>
                <v:stroke color="#3465a4" joinstyle="round" endcap="flat"/>
                <v:textbox>
                  <w:txbxContent>
                    <w:p>
                      <w:pPr>
                        <w:pStyle w:val="Contedodoquadro"/>
                        <w:numPr>
                          <w:ilvl w:val="1"/>
                          <w:numId w:val="2"/>
                        </w:numPr>
                        <w:ind w:left="999" w:hanging="432"/>
                        <w:jc w:val="center"/>
                        <w:rPr>
                          <w:rFonts w:ascii="Calibri" w:hAnsi="Calibri" w:eastAsia="Noto Sans CJK SC Regular" w:cs="Calibri"/>
                          <w:b/>
                          <w:b/>
                          <w:kern w:val="2"/>
                          <w:lang w:bidi="hi-IN"/>
                        </w:rPr>
                      </w:pPr>
                      <w:r>
                        <w:rPr>
                          <w:rFonts w:eastAsia="Noto Sans CJK SC Regular" w:cs="Calibri" w:ascii="Calibri" w:hAnsi="Calibri"/>
                          <w:b/>
                          <w:kern w:val="2"/>
                          <w:lang w:bidi="hi-IN"/>
                        </w:rPr>
                      </w:r>
                    </w:p>
                    <w:p>
                      <w:pPr>
                        <w:pStyle w:val="Contedodoquadro"/>
                        <w:numPr>
                          <w:ilvl w:val="1"/>
                          <w:numId w:val="2"/>
                        </w:numPr>
                        <w:ind w:left="999" w:hanging="432"/>
                        <w:jc w:val="center"/>
                        <w:rPr>
                          <w:rFonts w:ascii="Calibri" w:hAnsi="Calibri" w:eastAsia="Noto Sans CJK SC Regular" w:cs="Calibri"/>
                          <w:b/>
                          <w:b/>
                          <w:kern w:val="2"/>
                          <w:lang w:bidi="hi-IN"/>
                        </w:rPr>
                      </w:pPr>
                      <w:r>
                        <w:rPr>
                          <w:rFonts w:eastAsia="Noto Sans CJK SC Regular" w:cs="Calibri" w:ascii="Calibri" w:hAnsi="Calibri"/>
                          <w:b/>
                          <w:kern w:val="2"/>
                          <w:lang w:bidi="hi-IN"/>
                        </w:rPr>
                      </w:r>
                    </w:p>
                    <w:p>
                      <w:pPr>
                        <w:pStyle w:val="Contedodoquadro"/>
                        <w:numPr>
                          <w:ilvl w:val="1"/>
                          <w:numId w:val="2"/>
                        </w:numPr>
                        <w:ind w:left="999" w:hanging="432"/>
                        <w:jc w:val="center"/>
                        <w:rPr>
                          <w:rFonts w:ascii="Calibri" w:hAnsi="Calibri" w:cs="Calibri"/>
                          <w:sz w:val="20"/>
                          <w:szCs w:val="22"/>
                          <w:highlight w:val="yellow"/>
                        </w:rPr>
                      </w:pPr>
                      <w:r>
                        <w:rPr>
                          <w:rFonts w:eastAsia="Noto Sans CJK SC Regular" w:cs="Calibri" w:ascii="Calibri" w:hAnsi="Calibri"/>
                          <w:b/>
                          <w:kern w:val="2"/>
                          <w:sz w:val="22"/>
                          <w:lang w:bidi="hi-IN"/>
                        </w:rPr>
                        <w:t>LEANDRO LEITE DE ALMEIDA–</w:t>
                      </w:r>
                      <w:r>
                        <w:rPr>
                          <w:rFonts w:cs="Calibri" w:ascii="Calibri" w:hAnsi="Calibri"/>
                          <w:b/>
                          <w:sz w:val="22"/>
                          <w:lang w:eastAsia="ar-SA"/>
                        </w:rPr>
                        <w:t xml:space="preserve"> </w:t>
                      </w:r>
                      <w:r>
                        <w:rPr>
                          <w:rFonts w:eastAsia="Noto Sans CJK SC Regular" w:cs="Calibri" w:ascii="Calibri" w:hAnsi="Calibri"/>
                          <w:b/>
                          <w:kern w:val="2"/>
                          <w:sz w:val="22"/>
                          <w:lang w:bidi="hi-IN"/>
                        </w:rPr>
                        <w:t>Maj</w:t>
                      </w:r>
                    </w:p>
                    <w:p>
                      <w:pPr>
                        <w:pStyle w:val="Contedodoquadro"/>
                        <w:ind w:left="709" w:hanging="0"/>
                        <w:jc w:val="center"/>
                        <w:rPr>
                          <w:rFonts w:ascii="Arial" w:hAnsi="Arial" w:cs="Arial"/>
                          <w:color w:val="000000" w:themeColor="text1"/>
                          <w:sz w:val="22"/>
                          <w:lang w:eastAsia="en-US"/>
                        </w:rPr>
                      </w:pPr>
                      <w:r>
                        <w:rPr>
                          <w:rFonts w:cs="Arial" w:ascii="Arial" w:hAnsi="Arial"/>
                          <w:color w:val="FF0000"/>
                          <w:sz w:val="22"/>
                          <w:lang w:eastAsia="en-US"/>
                        </w:rPr>
                        <w:t xml:space="preserve"> </w:t>
                      </w:r>
                      <w:r>
                        <w:rPr>
                          <w:rFonts w:cs="Arial" w:ascii="Arial" w:hAnsi="Arial"/>
                          <w:color w:val="000000" w:themeColor="text1"/>
                          <w:sz w:val="22"/>
                          <w:lang w:eastAsia="en-US"/>
                        </w:rPr>
                        <w:t>Chefe da Equipe de Planejamento da Contratação (EPC)</w:t>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Contedodoquadro"/>
                        <w:suppressAutoHyphens w:val="false"/>
                        <w:jc w:val="center"/>
                        <w:rPr>
                          <w:sz w:val="22"/>
                        </w:rPr>
                      </w:pPr>
                      <w:r>
                        <w:rPr>
                          <w:rFonts w:cs="Calibri" w:ascii="Calibri" w:hAnsi="Calibri"/>
                          <w:b/>
                          <w:bCs/>
                          <w:color w:val="000000"/>
                          <w:sz w:val="22"/>
                          <w:szCs w:val="28"/>
                        </w:rPr>
                        <w:t>CECÍLIA</w:t>
                      </w:r>
                      <w:r>
                        <w:rPr>
                          <w:rFonts w:cs="Calibri" w:ascii="Calibri" w:hAnsi="Calibri"/>
                          <w:color w:val="000000"/>
                          <w:sz w:val="22"/>
                          <w:szCs w:val="28"/>
                        </w:rPr>
                        <w:t xml:space="preserve"> </w:t>
                      </w:r>
                      <w:r>
                        <w:rPr>
                          <w:rFonts w:cs="Calibri" w:ascii="Calibri" w:hAnsi="Calibri"/>
                          <w:b/>
                          <w:color w:val="000000"/>
                          <w:sz w:val="22"/>
                          <w:szCs w:val="28"/>
                        </w:rPr>
                        <w:t>MARIA XAVIER PEREIRA-3º Sgt</w:t>
                      </w:r>
                    </w:p>
                    <w:p>
                      <w:pPr>
                        <w:pStyle w:val="Contedodoquadro"/>
                        <w:ind w:left="709" w:hanging="0"/>
                        <w:jc w:val="center"/>
                        <w:rPr>
                          <w:rFonts w:ascii="Arial" w:hAnsi="Arial" w:cs="Arial"/>
                          <w:color w:val="000000" w:themeColor="text1"/>
                          <w:sz w:val="22"/>
                          <w:lang w:eastAsia="en-US"/>
                        </w:rPr>
                      </w:pPr>
                      <w:r>
                        <w:rPr>
                          <w:rFonts w:cs="Arial" w:ascii="Arial" w:hAnsi="Arial"/>
                          <w:color w:val="000000" w:themeColor="text1"/>
                          <w:sz w:val="22"/>
                          <w:lang w:eastAsia="en-US"/>
                        </w:rPr>
                        <w:t>Integrante EPC</w:t>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Contedodoquadro"/>
                        <w:ind w:left="709" w:hanging="0"/>
                        <w:jc w:val="center"/>
                        <w:rPr>
                          <w:color w:val="FF0000"/>
                          <w:sz w:val="22"/>
                        </w:rPr>
                      </w:pPr>
                      <w:r>
                        <w:rPr>
                          <w:color w:val="FF0000"/>
                          <w:sz w:val="22"/>
                        </w:rPr>
                      </w:r>
                    </w:p>
                    <w:p>
                      <w:pPr>
                        <w:pStyle w:val="Standard"/>
                        <w:shd w:val="clear" w:color="auto" w:fill="FFFFFF"/>
                        <w:snapToGrid w:val="false"/>
                        <w:jc w:val="center"/>
                        <w:rPr>
                          <w:rFonts w:ascii="Calibri" w:hAnsi="Calibri" w:cs="Calibri"/>
                          <w:b/>
                          <w:b/>
                          <w:bCs/>
                          <w:sz w:val="22"/>
                          <w:szCs w:val="22"/>
                          <w:shd w:fill="FFFFFF" w:val="clear"/>
                        </w:rPr>
                      </w:pPr>
                      <w:r>
                        <w:rPr>
                          <w:rFonts w:cs="Calibri" w:ascii="Calibri" w:hAnsi="Calibri"/>
                          <w:b/>
                          <w:bCs/>
                          <w:sz w:val="22"/>
                          <w:szCs w:val="22"/>
                          <w:highlight w:val="yellow"/>
                          <w:shd w:fill="FFFFFF" w:val="clear"/>
                        </w:rPr>
                        <w:t>ADINAEL SENA LIMA-CB</w:t>
                      </w:r>
                    </w:p>
                    <w:p>
                      <w:pPr>
                        <w:pStyle w:val="Standard"/>
                        <w:shd w:val="clear" w:color="auto" w:fill="FFFFFF"/>
                        <w:snapToGrid w:val="false"/>
                        <w:jc w:val="center"/>
                        <w:rPr>
                          <w:rFonts w:ascii="Arial" w:hAnsi="Arial" w:cs="Arial"/>
                          <w:color w:val="FF0000"/>
                          <w:sz w:val="22"/>
                          <w:lang w:eastAsia="en-US"/>
                        </w:rPr>
                      </w:pPr>
                      <w:r>
                        <w:rPr>
                          <w:rFonts w:cs="Arial" w:ascii="Arial" w:hAnsi="Arial"/>
                          <w:color w:val="FF0000"/>
                          <w:sz w:val="22"/>
                          <w:lang w:eastAsia="en-US"/>
                        </w:rPr>
                        <w:t xml:space="preserve">  </w:t>
                      </w:r>
                      <w:r>
                        <w:rPr>
                          <w:rFonts w:cs="Arial" w:ascii="Arial" w:hAnsi="Arial"/>
                          <w:color w:val="000000" w:themeColor="text1"/>
                          <w:sz w:val="22"/>
                          <w:lang w:eastAsia="en-US"/>
                        </w:rPr>
                        <w:t>Integrante EPC</w:t>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rFonts w:ascii="Arial" w:hAnsi="Arial" w:cs="Arial"/>
                          <w:sz w:val="22"/>
                          <w:lang w:eastAsia="en-US"/>
                        </w:rPr>
                      </w:pPr>
                      <w:r>
                        <w:rPr>
                          <w:rFonts w:cs="Arial" w:ascii="Arial" w:hAnsi="Arial"/>
                          <w:sz w:val="22"/>
                          <w:lang w:eastAsia="en-US"/>
                        </w:rPr>
                        <w:t>APROVAÇÃO DO ORDENADOR DE DESPESAS:</w:t>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color w:val="000000"/>
                          <w:sz w:val="22"/>
                        </w:rPr>
                      </w:pPr>
                      <w:r>
                        <w:rPr>
                          <w:color w:val="000000"/>
                          <w:sz w:val="22"/>
                        </w:rPr>
                      </w:r>
                    </w:p>
                    <w:p>
                      <w:pPr>
                        <w:pStyle w:val="Contedodoquadro"/>
                        <w:ind w:left="709" w:hanging="0"/>
                        <w:jc w:val="center"/>
                        <w:rPr>
                          <w:rFonts w:ascii="Arial" w:hAnsi="Arial" w:cs="Arial"/>
                          <w:sz w:val="22"/>
                          <w:lang w:eastAsia="en-US"/>
                        </w:rPr>
                      </w:pPr>
                      <w:r>
                        <w:rPr>
                          <w:rFonts w:cs="Arial" w:ascii="Arial" w:hAnsi="Arial"/>
                          <w:sz w:val="22"/>
                          <w:lang w:eastAsia="en-US"/>
                        </w:rPr>
                        <w:t>SANDRO ROGÉRIO FERREIRA GOMES - Cel</w:t>
                      </w:r>
                    </w:p>
                    <w:p>
                      <w:pPr>
                        <w:pStyle w:val="Contedodoquadro"/>
                        <w:ind w:left="709" w:hanging="0"/>
                        <w:jc w:val="center"/>
                        <w:rPr>
                          <w:rFonts w:ascii="Arial" w:hAnsi="Arial" w:cs="Arial"/>
                          <w:sz w:val="22"/>
                          <w:lang w:eastAsia="en-US"/>
                        </w:rPr>
                      </w:pPr>
                      <w:r>
                        <w:rPr>
                          <w:rFonts w:cs="Arial" w:ascii="Arial" w:hAnsi="Arial"/>
                          <w:sz w:val="22"/>
                          <w:lang w:eastAsia="en-US"/>
                        </w:rPr>
                        <w:t xml:space="preserve"> </w:t>
                      </w:r>
                      <w:r>
                        <w:rPr>
                          <w:rFonts w:cs="Arial" w:ascii="Arial" w:hAnsi="Arial"/>
                          <w:sz w:val="22"/>
                          <w:lang w:eastAsia="en-US"/>
                        </w:rPr>
                        <w:t>Ordenador de Despesas do Cmdo CMA</w:t>
                      </w:r>
                      <w:r>
                        <w:br w:type="page"/>
                      </w:r>
                    </w:p>
                    <w:p>
                      <w:pPr>
                        <w:pStyle w:val="Contedodoquadro"/>
                        <w:ind w:left="709" w:hanging="0"/>
                        <w:jc w:val="center"/>
                        <w:rPr/>
                      </w:pPr>
                      <w:r>
                        <w:rPr/>
                      </w:r>
                    </w:p>
                  </w:txbxContent>
                </v:textbox>
              </v:rect>
            </w:pict>
          </mc:Fallback>
        </mc:AlternateContent>
      </w:r>
      <w:r>
        <w:rPr>
          <w:rFonts w:cs="Calibri" w:ascii="Calibri" w:hAnsi="Calibri" w:asciiTheme="minorHAnsi" w:cstheme="minorHAnsi" w:hAnsiTheme="minorHAnsi"/>
          <w:color w:val="000000" w:themeColor="text1"/>
          <w:sz w:val="22"/>
          <w:szCs w:val="24"/>
          <w:highlight w:val="yellow"/>
        </w:rPr>
        <w:t>Manaus-AM, 21 de maio de 2024</w:t>
      </w:r>
    </w:p>
    <w:p>
      <w:pPr>
        <w:pStyle w:val="Nivel2"/>
        <w:numPr>
          <w:ilvl w:val="0"/>
          <w:numId w:val="0"/>
        </w:numPr>
        <w:shd w:val="clear" w:color="auto" w:fill="FFFFFF" w:themeFill="background1"/>
        <w:ind w:left="142" w:hanging="0"/>
        <w:rPr>
          <w:rFonts w:ascii="Calibri" w:hAnsi="Calibri" w:cs="Calibri" w:asciiTheme="minorHAnsi" w:cstheme="minorHAnsi" w:hAnsiTheme="minorHAnsi"/>
          <w:color w:val="000000" w:themeColor="text1"/>
          <w:sz w:val="22"/>
          <w:szCs w:val="24"/>
        </w:rPr>
      </w:pPr>
      <w:r>
        <w:rPr>
          <w:rFonts w:cs="Calibri" w:cstheme="minorHAnsi" w:ascii="Calibri" w:hAnsi="Calibri"/>
          <w:color w:val="000000" w:themeColor="text1"/>
          <w:sz w:val="22"/>
          <w:szCs w:val="24"/>
        </w:rPr>
      </w:r>
    </w:p>
    <w:p>
      <w:pPr>
        <w:pStyle w:val="Nivel2"/>
        <w:numPr>
          <w:ilvl w:val="0"/>
          <w:numId w:val="0"/>
        </w:numPr>
        <w:shd w:val="clear" w:color="auto" w:fill="FFFFFF" w:themeFill="background1"/>
        <w:ind w:left="142" w:hanging="0"/>
        <w:rPr>
          <w:rFonts w:ascii="Calibri" w:hAnsi="Calibri" w:cs="Calibri" w:asciiTheme="minorHAnsi" w:cstheme="minorHAnsi" w:hAnsiTheme="minorHAnsi"/>
          <w:color w:val="auto"/>
          <w:sz w:val="22"/>
          <w:szCs w:val="24"/>
        </w:rPr>
      </w:pPr>
      <w:r>
        <w:rPr>
          <w:rFonts w:cs="Calibri" w:cstheme="minorHAnsi" w:ascii="Calibri" w:hAnsi="Calibri"/>
          <w:color w:val="auto"/>
          <w:sz w:val="22"/>
          <w:szCs w:val="24"/>
        </w:rPr>
      </w:r>
    </w:p>
    <w:p>
      <w:pPr>
        <w:pStyle w:val="Nivel2"/>
        <w:numPr>
          <w:ilvl w:val="0"/>
          <w:numId w:val="0"/>
        </w:numPr>
        <w:shd w:val="clear" w:color="auto" w:fill="FFFFFF" w:themeFill="background1"/>
        <w:spacing w:before="120" w:after="120"/>
        <w:ind w:left="142" w:hanging="0"/>
        <w:rPr>
          <w:rFonts w:ascii="Calibri" w:hAnsi="Calibri" w:cs="Calibri" w:asciiTheme="minorHAnsi" w:cstheme="minorHAnsi" w:hAnsiTheme="minorHAnsi"/>
          <w:color w:val="auto"/>
          <w:sz w:val="22"/>
          <w:szCs w:val="24"/>
        </w:rPr>
      </w:pPr>
      <w:r>
        <w:rPr/>
      </w:r>
    </w:p>
    <w:sectPr>
      <w:headerReference w:type="default" r:id="rId7"/>
      <w:footerReference w:type="default" r:id="rId8"/>
      <w:type w:val="nextPage"/>
      <w:pgSz w:w="11906" w:h="16838"/>
      <w:pgMar w:left="1276" w:right="849" w:header="709" w:top="1417" w:footer="709" w:bottom="766"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Serif">
    <w:altName w:val="Times New Roman"/>
    <w:charset w:val="00"/>
    <w:family w:val="roman"/>
    <w:pitch w:val="variable"/>
  </w:font>
  <w:font w:name="Liberation Sans">
    <w:altName w:val="Arial"/>
    <w:charset w:val="00"/>
    <w:family w:val="swiss"/>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Arial" w:hAnsi="Arial" w:cs="Arial"/>
        <w:color w:val="548DD4"/>
        <w:spacing w:val="60"/>
        <w:sz w:val="16"/>
        <w:szCs w:val="16"/>
      </w:rPr>
    </w:pPr>
    <w:r>
      <w:rPr>
        <w:rFonts w:cs="Arial" w:ascii="Arial" w:hAnsi="Arial"/>
        <w:color w:val="548DD4"/>
        <w:spacing w:val="60"/>
        <w:sz w:val="22"/>
        <w:szCs w:val="22"/>
      </w:rPr>
      <w:tab/>
      <w:tab/>
    </w:r>
  </w:p>
  <w:p>
    <w:pPr>
      <w:pStyle w:val="Rodap"/>
      <w:rPr>
        <w:rFonts w:ascii="Arial" w:hAnsi="Arial" w:cs="Arial"/>
        <w:color w:val="7F7F7F"/>
        <w:sz w:val="18"/>
        <w:szCs w:val="18"/>
      </w:rPr>
    </w:pPr>
    <w:r>
      <w:rPr>
        <w:rFonts w:cs="Arial" w:ascii="Arial" w:hAnsi="Arial"/>
        <w:color w:val="7F7F7F"/>
        <w:spacing w:val="60"/>
        <w:sz w:val="22"/>
        <w:szCs w:val="22"/>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13</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Dezembro/2023</w:t>
    </w:r>
  </w:p>
  <w:p>
    <w:pPr>
      <w:pStyle w:val="Rodap"/>
      <w:rPr>
        <w:rFonts w:ascii="Arial" w:hAnsi="Arial" w:cs="Arial"/>
        <w:color w:val="0F243E"/>
        <w:sz w:val="14"/>
        <w:szCs w:val="14"/>
      </w:rPr>
    </w:pPr>
    <w:r>
      <w:rPr>
        <w:rFonts w:cs="Arial" w:ascii="Arial" w:hAnsi="Arial"/>
        <w:sz w:val="14"/>
        <w:szCs w:val="14"/>
      </w:rPr>
      <w:t xml:space="preserve">Termo de Referência contratação de Serviços – </w:t>
    </w:r>
    <w:r>
      <w:rPr>
        <w:rFonts w:cs="Arial" w:ascii="Arial" w:hAnsi="Arial"/>
        <w:sz w:val="14"/>
        <w:szCs w:val="14"/>
        <w:shd w:fill="FFFFFF" w:val="clear"/>
      </w:rPr>
      <w:t>Contratação Direta</w:t>
      <w:tab/>
    </w:r>
    <w:r>
      <w:rPr>
        <w:rFonts w:cs="Arial" w:ascii="Arial" w:hAnsi="Arial"/>
        <w:sz w:val="14"/>
        <w:szCs w:val="14"/>
      </w:rPr>
      <w:tab/>
    </w:r>
  </w:p>
  <w:p>
    <w:pPr>
      <w:pStyle w:val="Rodap"/>
      <w:rPr>
        <w:rFonts w:ascii="Arial" w:hAnsi="Arial" w:cs="Arial"/>
        <w:sz w:val="14"/>
        <w:szCs w:val="14"/>
      </w:rPr>
    </w:pPr>
    <w:r>
      <w:rPr>
        <w:rFonts w:cs="Arial" w:ascii="Arial" w:hAnsi="Arial"/>
        <w:sz w:val="14"/>
        <w:szCs w:val="14"/>
      </w:rPr>
      <w:t>Aprovado pela Secretaria de Gestão.</w:t>
    </w:r>
  </w:p>
  <w:p>
    <w:pPr>
      <w:pStyle w:val="Rodap"/>
      <w:rPr>
        <w:rFonts w:ascii="Arial" w:hAnsi="Arial" w:cs="Arial"/>
        <w:sz w:val="12"/>
        <w:szCs w:val="12"/>
      </w:rPr>
    </w:pPr>
    <w:r>
      <w:rPr>
        <w:rFonts w:cs="Arial" w:ascii="Arial" w:hAnsi="Arial"/>
        <w:sz w:val="14"/>
        <w:szCs w:val="14"/>
      </w:rPr>
      <w:t xml:space="preserve">Identidade visual pela Secretaria de Gestão </w:t>
    </w:r>
  </w:p>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Rawline" w:hAnsi="Rawline"/>
        <w:sz w:val="20"/>
        <w:szCs w:val="20"/>
      </w:rPr>
    </w:pPr>
    <w:r>
      <w:rPr>
        <w:rFonts w:ascii="Rawline" w:hAnsi="Rawline"/>
        <w:sz w:val="20"/>
        <w:szCs w:val="20"/>
      </w:rPr>
    </w:r>
  </w:p>
  <w:p>
    <w:pPr>
      <w:pStyle w:val="Cabealho"/>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32" w:hanging="432"/>
      </w:pPr>
      <w:rPr>
        <w:dstrike w:val="false"/>
        <w:strike w:val="false"/>
        <w:sz w:val="22"/>
        <w:i w:val="false"/>
        <w:u w:val="none"/>
        <w:b/>
        <w:szCs w:val="20"/>
        <w:color w:val="auto"/>
      </w:rPr>
    </w:lvl>
    <w:lvl w:ilvl="2">
      <w:start w:val="1"/>
      <w:numFmt w:val="decimal"/>
      <w:lvlText w:val="%1.%2.%3."/>
      <w:lvlJc w:val="left"/>
      <w:pPr>
        <w:tabs>
          <w:tab w:val="num" w:pos="0"/>
        </w:tabs>
        <w:ind w:left="3198" w:hanging="504"/>
      </w:pPr>
      <w:rPr>
        <w:dstrike w:val="false"/>
        <w:strike w:val="false"/>
        <w:sz w:val="22"/>
        <w:i w:val="false"/>
        <w:b w:val="false"/>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upperRoman"/>
      <w:lvlText w:val="%1)"/>
      <w:lvlJc w:val="left"/>
      <w:pPr>
        <w:tabs>
          <w:tab w:val="num" w:pos="0"/>
        </w:tabs>
        <w:ind w:left="2136" w:hanging="720"/>
      </w:pPr>
    </w:lvl>
    <w:lvl w:ilvl="1">
      <w:start w:val="1"/>
      <w:numFmt w:val="lowerLetter"/>
      <w:lvlText w:val="%2."/>
      <w:lvlJc w:val="left"/>
      <w:pPr>
        <w:tabs>
          <w:tab w:val="num" w:pos="0"/>
        </w:tabs>
        <w:ind w:left="2496" w:hanging="360"/>
      </w:pPr>
    </w:lvl>
    <w:lvl w:ilvl="2">
      <w:start w:val="1"/>
      <w:numFmt w:val="lowerRoman"/>
      <w:lvlText w:val="%3."/>
      <w:lvlJc w:val="right"/>
      <w:pPr>
        <w:tabs>
          <w:tab w:val="num" w:pos="0"/>
        </w:tabs>
        <w:ind w:left="3216" w:hanging="180"/>
      </w:pPr>
    </w:lvl>
    <w:lvl w:ilvl="3">
      <w:start w:val="1"/>
      <w:numFmt w:val="decimal"/>
      <w:lvlText w:val="%4."/>
      <w:lvlJc w:val="left"/>
      <w:pPr>
        <w:tabs>
          <w:tab w:val="num" w:pos="0"/>
        </w:tabs>
        <w:ind w:left="3936" w:hanging="360"/>
      </w:pPr>
    </w:lvl>
    <w:lvl w:ilvl="4">
      <w:start w:val="1"/>
      <w:numFmt w:val="lowerLetter"/>
      <w:lvlText w:val="%5."/>
      <w:lvlJc w:val="left"/>
      <w:pPr>
        <w:tabs>
          <w:tab w:val="num" w:pos="0"/>
        </w:tabs>
        <w:ind w:left="4656" w:hanging="360"/>
      </w:pPr>
    </w:lvl>
    <w:lvl w:ilvl="5">
      <w:start w:val="1"/>
      <w:numFmt w:val="lowerRoman"/>
      <w:lvlText w:val="%6."/>
      <w:lvlJc w:val="right"/>
      <w:pPr>
        <w:tabs>
          <w:tab w:val="num" w:pos="0"/>
        </w:tabs>
        <w:ind w:left="5376" w:hanging="180"/>
      </w:pPr>
    </w:lvl>
    <w:lvl w:ilvl="6">
      <w:start w:val="1"/>
      <w:numFmt w:val="decimal"/>
      <w:lvlText w:val="%7."/>
      <w:lvlJc w:val="left"/>
      <w:pPr>
        <w:tabs>
          <w:tab w:val="num" w:pos="0"/>
        </w:tabs>
        <w:ind w:left="6096" w:hanging="360"/>
      </w:pPr>
    </w:lvl>
    <w:lvl w:ilvl="7">
      <w:start w:val="1"/>
      <w:numFmt w:val="lowerLetter"/>
      <w:lvlText w:val="%8."/>
      <w:lvlJc w:val="left"/>
      <w:pPr>
        <w:tabs>
          <w:tab w:val="num" w:pos="0"/>
        </w:tabs>
        <w:ind w:left="6816" w:hanging="360"/>
      </w:pPr>
    </w:lvl>
    <w:lvl w:ilvl="8">
      <w:start w:val="1"/>
      <w:numFmt w:val="lowerRoman"/>
      <w:lvlText w:val="%9."/>
      <w:lvlJc w:val="right"/>
      <w:pPr>
        <w:tabs>
          <w:tab w:val="num" w:pos="0"/>
        </w:tabs>
        <w:ind w:left="7536" w:hanging="18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hyphenationZone w:val="425"/>
  <w:themeFontLang w:val="pt-BR"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pt-B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semiHidden="1" w:unhideWhenUsed="1" w:qFormat="1"/>
    <w:lsdException w:name="heading 6" w:uiPriority="0"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uiPriority="0"/>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uiPriority="0"/>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lsdException w:name="Table Theme" w:semiHidden="1" w:unhideWhenUsed="1"/>
    <w:lsdException w:name="Placeholder Text" w:uiPriority="0"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before="0" w:after="0"/>
      <w:jc w:val="left"/>
    </w:pPr>
    <w:rPr>
      <w:rFonts w:ascii="Ecofont_Spranq_eco_Sans" w:hAnsi="Ecofont_Spranq_eco_Sans" w:cs="Tahoma" w:eastAsia="Segoe UI"/>
      <w:color w:val="auto"/>
      <w:kern w:val="0"/>
      <w:sz w:val="24"/>
      <w:szCs w:val="24"/>
      <w:lang w:val="pt-BR" w:eastAsia="pt-BR" w:bidi="ar-SA"/>
    </w:rPr>
  </w:style>
  <w:style w:type="paragraph" w:styleId="Ttulo1">
    <w:name w:val="Heading 1"/>
    <w:basedOn w:val="Normal"/>
    <w:next w:val="Normal"/>
    <w:link w:val="Ttulo1Char"/>
    <w:qFormat/>
    <w:pPr>
      <w:keepNext w:val="true"/>
      <w:keepLines/>
      <w:spacing w:before="480" w:after="0"/>
      <w:outlineLvl w:val="0"/>
    </w:pPr>
    <w:rPr>
      <w:rFonts w:ascii="Calibri" w:hAnsi="Calibri" w:cs="Times New Roman"/>
      <w:b/>
      <w:bCs/>
      <w:color w:val="365F91"/>
      <w:sz w:val="28"/>
      <w:szCs w:val="28"/>
    </w:rPr>
  </w:style>
  <w:style w:type="paragraph" w:styleId="Ttulo2">
    <w:name w:val="Heading 2"/>
    <w:basedOn w:val="Normal"/>
    <w:next w:val="Normal"/>
    <w:link w:val="Ttulo2Char"/>
    <w:qFormat/>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qFormat/>
    <w:pPr>
      <w:keepNext w:val="true"/>
      <w:keepLines/>
      <w:spacing w:lineRule="auto" w:line="259" w:before="40" w:after="0"/>
      <w:outlineLvl w:val="2"/>
    </w:pPr>
    <w:rPr>
      <w:rFonts w:ascii="Calibri" w:hAnsi="Calibri" w:cs="Times New Roman"/>
      <w:color w:val="243F60"/>
      <w:lang w:eastAsia="en-US"/>
    </w:rPr>
  </w:style>
  <w:style w:type="paragraph" w:styleId="Ttulo4">
    <w:name w:val="Heading 4"/>
    <w:basedOn w:val="Normal"/>
    <w:next w:val="Normal"/>
    <w:link w:val="Ttulo4Char"/>
    <w:qFormat/>
    <w:pPr>
      <w:keepNext w:val="true"/>
      <w:keepLines/>
      <w:spacing w:before="40" w:after="0"/>
      <w:outlineLvl w:val="3"/>
    </w:pPr>
    <w:rPr>
      <w:rFonts w:ascii="Calibri" w:hAnsi="Calibri" w:cs="Times New Roman"/>
      <w:i/>
      <w:iCs/>
      <w:color w:val="365F91"/>
    </w:rPr>
  </w:style>
  <w:style w:type="paragraph" w:styleId="Ttulo6">
    <w:name w:val="Heading 6"/>
    <w:basedOn w:val="Normal"/>
    <w:next w:val="Normal"/>
    <w:link w:val="Ttulo6Char"/>
    <w:qFormat/>
    <w:pPr>
      <w:keepNext w:val="true"/>
      <w:keepLines/>
      <w:spacing w:lineRule="auto" w:line="259" w:before="40" w:after="0"/>
      <w:outlineLvl w:val="5"/>
    </w:pPr>
    <w:rPr>
      <w:rFonts w:ascii="Calibri" w:hAnsi="Calibri" w:cs="Times New Roman"/>
      <w:color w:val="243F60"/>
      <w:sz w:val="22"/>
      <w:szCs w:val="22"/>
      <w:lang w:eastAsia="en-US"/>
    </w:rPr>
  </w:style>
  <w:style w:type="character" w:styleId="DefaultParagraphFont" w:default="1">
    <w:name w:val="Default Paragraph Font"/>
    <w:uiPriority w:val="1"/>
    <w:semiHidden/>
    <w:unhideWhenUsed/>
    <w:qFormat/>
    <w:rPr/>
  </w:style>
  <w:style w:type="character" w:styleId="Strong">
    <w:name w:val="Strong"/>
    <w:basedOn w:val="DefaultParagraphFont"/>
    <w:qFormat/>
    <w:rPr>
      <w:b/>
      <w:bCs/>
    </w:rPr>
  </w:style>
  <w:style w:type="character" w:styleId="Annotationreference">
    <w:name w:val="annotation reference"/>
    <w:basedOn w:val="DefaultParagraphFont"/>
    <w:qFormat/>
    <w:rPr>
      <w:sz w:val="16"/>
      <w:szCs w:val="16"/>
    </w:rPr>
  </w:style>
  <w:style w:type="character" w:styleId="Linkdainternetvisitado">
    <w:name w:val="Link da internet visitado"/>
    <w:basedOn w:val="DefaultParagraphFont"/>
    <w:rPr>
      <w:color w:val="800080"/>
      <w:u w:val="single"/>
    </w:rPr>
  </w:style>
  <w:style w:type="character" w:styleId="Nfase">
    <w:name w:val="Ênfase"/>
    <w:basedOn w:val="DefaultParagraphFont"/>
    <w:qFormat/>
    <w:rPr>
      <w:i/>
      <w:iCs/>
    </w:rPr>
  </w:style>
  <w:style w:type="character" w:styleId="Linenumber">
    <w:name w:val="line number"/>
    <w:qFormat/>
    <w:rPr/>
  </w:style>
  <w:style w:type="character" w:styleId="LinkdaInternet">
    <w:name w:val="Link da Internet"/>
    <w:basedOn w:val="DefaultParagraphFont"/>
    <w:rPr>
      <w:color w:val="0000FF"/>
      <w:u w:val="single"/>
    </w:rPr>
  </w:style>
  <w:style w:type="character" w:styleId="TextodebaloChar" w:customStyle="1">
    <w:name w:val="Texto de balão Char"/>
    <w:link w:val="Textodebalo"/>
    <w:qFormat/>
    <w:rPr>
      <w:rFonts w:ascii="Tahoma" w:hAnsi="Tahoma" w:cs="Tahoma"/>
      <w:sz w:val="16"/>
      <w:szCs w:val="16"/>
    </w:rPr>
  </w:style>
  <w:style w:type="character" w:styleId="Ttulo2Char" w:customStyle="1">
    <w:name w:val="Título 2 Char"/>
    <w:link w:val="Ttulo2"/>
    <w:qFormat/>
    <w:rPr>
      <w:b/>
      <w:color w:val="000000"/>
      <w:sz w:val="24"/>
    </w:rPr>
  </w:style>
  <w:style w:type="character" w:styleId="Normalchar1" w:customStyle="1">
    <w:name w:val="normal__char1"/>
    <w:qFormat/>
    <w:rPr>
      <w:rFonts w:ascii="Arial" w:hAnsi="Arial" w:cs="Arial"/>
      <w:sz w:val="24"/>
      <w:szCs w:val="24"/>
      <w:u w:val="none"/>
    </w:rPr>
  </w:style>
  <w:style w:type="character" w:styleId="Applestylespan" w:customStyle="1">
    <w:name w:val="apple-style-span"/>
    <w:basedOn w:val="DefaultParagraphFont"/>
    <w:qFormat/>
    <w:rPr/>
  </w:style>
  <w:style w:type="character" w:styleId="CitaoChar" w:customStyle="1">
    <w:name w:val="Citação Char"/>
    <w:link w:val="Citao"/>
    <w:qFormat/>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Pr>
      <w:rFonts w:ascii="Arial" w:hAnsi="Arial" w:eastAsia="Calibri" w:cs="Tahoma"/>
      <w:i/>
      <w:iCs/>
      <w:color w:val="000000"/>
      <w:szCs w:val="24"/>
      <w:shd w:fill="FFFFCC" w:val="clear"/>
    </w:rPr>
  </w:style>
  <w:style w:type="character" w:styleId="CabealhoChar" w:customStyle="1">
    <w:name w:val="Cabeçalho Char"/>
    <w:link w:val="Cabealho"/>
    <w:qFormat/>
    <w:rPr>
      <w:rFonts w:ascii="Ecofont_Spranq_eco_Sans" w:hAnsi="Ecofont_Spranq_eco_Sans" w:cs="Tahoma"/>
      <w:sz w:val="24"/>
      <w:szCs w:val="24"/>
    </w:rPr>
  </w:style>
  <w:style w:type="character" w:styleId="RodapChar" w:customStyle="1">
    <w:name w:val="Rodapé Char"/>
    <w:link w:val="Rodap"/>
    <w:qFormat/>
    <w:rPr>
      <w:rFonts w:ascii="Ecofont_Spranq_eco_Sans" w:hAnsi="Ecofont_Spranq_eco_Sans" w:cs="Tahoma"/>
      <w:sz w:val="24"/>
      <w:szCs w:val="24"/>
    </w:rPr>
  </w:style>
  <w:style w:type="character" w:styleId="TextodecomentrioChar" w:customStyle="1">
    <w:name w:val="Texto de comentário Char"/>
    <w:basedOn w:val="DefaultParagraphFont"/>
    <w:link w:val="Textodecomentrio"/>
    <w:qFormat/>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qFormat/>
    <w:rPr>
      <w:rFonts w:ascii="Ecofont_Spranq_eco_Sans" w:hAnsi="Ecofont_Spranq_eco_Sans" w:cs="Tahoma"/>
      <w:b/>
      <w:bCs/>
      <w:lang w:eastAsia="pt-BR"/>
    </w:rPr>
  </w:style>
  <w:style w:type="character" w:styleId="Ttulo4Char" w:customStyle="1">
    <w:name w:val="Título 4 Char"/>
    <w:basedOn w:val="DefaultParagraphFont"/>
    <w:link w:val="Ttulo4"/>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link w:val="Ttulo"/>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link w:val="Nivel01"/>
    <w:qFormat/>
    <w:rPr>
      <w:rFonts w:ascii="Arial" w:hAnsi="Arial" w:eastAsia="Segoe UI" w:cs="Arial"/>
      <w:b/>
      <w:bCs/>
      <w:color w:val="17365D"/>
      <w:spacing w:val="5"/>
      <w:kern w:val="2"/>
      <w:sz w:val="52"/>
      <w:szCs w:val="52"/>
      <w:lang w:eastAsia="pt-BR"/>
    </w:rPr>
  </w:style>
  <w:style w:type="character" w:styleId="Ttulo1Char" w:customStyle="1">
    <w:name w:val="Título 1 Char"/>
    <w:basedOn w:val="DefaultParagraphFont"/>
    <w:link w:val="Ttulo1"/>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link w:val="Nivel01Titulo"/>
    <w:qFormat/>
    <w:rPr>
      <w:rFonts w:ascii="Arial" w:hAnsi="Arial" w:eastAsia="Segoe UI" w:cs="Times New Roman"/>
      <w:b/>
      <w:bCs/>
      <w:color w:val="000000"/>
      <w:spacing w:val="5"/>
      <w:kern w:val="2"/>
      <w:sz w:val="52"/>
      <w:szCs w:val="52"/>
      <w:lang w:eastAsia="pt-BR"/>
    </w:rPr>
  </w:style>
  <w:style w:type="character" w:styleId="QuoteChar" w:customStyle="1">
    <w:name w:val="Quote Char"/>
    <w:basedOn w:val="DefaultParagraphFont"/>
    <w:link w:val="Citao1"/>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link w:val="Textbody"/>
    <w:qFormat/>
    <w:rPr>
      <w:rFonts w:eastAsia="Times New Roman"/>
      <w:sz w:val="24"/>
      <w:szCs w:val="24"/>
      <w:lang w:eastAsia="pt-BR"/>
    </w:rPr>
  </w:style>
  <w:style w:type="character" w:styleId="Nivel1Char" w:customStyle="1">
    <w:name w:val="Nivel1 Char"/>
    <w:basedOn w:val="Ttulo1Char"/>
    <w:link w:val="Nivel1"/>
    <w:qFormat/>
    <w:rPr>
      <w:rFonts w:ascii="Arial" w:hAnsi="Arial" w:eastAsia="Segoe UI" w:cs="Arial"/>
      <w:b/>
      <w:bCs w:val="false"/>
      <w:color w:val="000000"/>
      <w:sz w:val="28"/>
      <w:szCs w:val="28"/>
      <w:lang w:eastAsia="pt-BR"/>
    </w:rPr>
  </w:style>
  <w:style w:type="character" w:styleId="Nivel4Char" w:customStyle="1">
    <w:name w:val="Nivel 4 Char"/>
    <w:basedOn w:val="DefaultParagraphFont"/>
    <w:link w:val="Nivel4"/>
    <w:qFormat/>
    <w:rPr>
      <w:rFonts w:ascii="Arial" w:hAnsi="Arial" w:cs="Arial"/>
      <w:lang w:eastAsia="pt-BR"/>
    </w:rPr>
  </w:style>
  <w:style w:type="character" w:styleId="Cp0020corpodespachochar1" w:customStyle="1">
    <w:name w:val="cp_0020corpodespacho__char1"/>
    <w:qFormat/>
    <w:rPr>
      <w:rFonts w:ascii="Times New Roman" w:hAnsi="Times New Roman" w:cs="Times New Roman"/>
      <w:sz w:val="26"/>
      <w:szCs w:val="26"/>
      <w:u w:val="none"/>
    </w:rPr>
  </w:style>
  <w:style w:type="character" w:styleId="Em0020ementachar1" w:customStyle="1">
    <w:name w:val="em_0020ementa__char1"/>
    <w:qFormat/>
    <w:rPr>
      <w:rFonts w:ascii="Times New Roman" w:hAnsi="Times New Roman" w:cs="Times New Roman"/>
      <w:sz w:val="28"/>
      <w:szCs w:val="28"/>
      <w:u w:val="none"/>
    </w:rPr>
  </w:style>
  <w:style w:type="character" w:styleId="Manoel" w:customStyle="1">
    <w:name w:val="Manoel"/>
    <w:qFormat/>
    <w:rPr>
      <w:rFonts w:ascii="Arial" w:hAnsi="Arial" w:cs="Arial"/>
      <w:color w:val="7030A0"/>
      <w:sz w:val="20"/>
    </w:rPr>
  </w:style>
  <w:style w:type="character" w:styleId="GradeColoridanfase1Char" w:customStyle="1">
    <w:name w:val="Grade Colorida - Ênfase 1 Char"/>
    <w:link w:val="GradeColorida-nfase11"/>
    <w:qFormat/>
    <w:rPr>
      <w:rFonts w:ascii="Arial" w:hAnsi="Arial" w:eastAsia="Calibri"/>
      <w:i/>
      <w:iCs/>
      <w:color w:val="000000"/>
      <w:szCs w:val="24"/>
      <w:shd w:fill="FFFFCC" w:val="clear"/>
    </w:rPr>
  </w:style>
  <w:style w:type="character" w:styleId="Highlight" w:customStyle="1">
    <w:name w:val="highlight"/>
    <w:basedOn w:val="DefaultParagraphFont"/>
    <w:qFormat/>
    <w:rPr/>
  </w:style>
  <w:style w:type="character" w:styleId="MenoPendente1" w:customStyle="1">
    <w:name w:val="Menção Pendente1"/>
    <w:basedOn w:val="DefaultParagraphFont"/>
    <w:qFormat/>
    <w:rPr>
      <w:color w:val="605E5C"/>
      <w:shd w:fill="E1DFDD" w:val="clear"/>
    </w:rPr>
  </w:style>
  <w:style w:type="character" w:styleId="MenoPendente2" w:customStyle="1">
    <w:name w:val="Menção Pendente2"/>
    <w:basedOn w:val="DefaultParagraphFont"/>
    <w:qFormat/>
    <w:rPr>
      <w:color w:val="605E5C"/>
      <w:shd w:fill="E1DFDD" w:val="clear"/>
    </w:rPr>
  </w:style>
  <w:style w:type="character" w:styleId="Nivel2Char" w:customStyle="1">
    <w:name w:val="Nivel 2 Char"/>
    <w:basedOn w:val="DefaultParagraphFont"/>
    <w:link w:val="Nivel2"/>
    <w:qFormat/>
    <w:rPr>
      <w:rFonts w:ascii="Ecofont_Spranq_eco_Sans" w:hAnsi="Ecofont_Spranq_eco_Sans" w:eastAsia="Arial" w:cs="Arial"/>
      <w:color w:val="FF0000"/>
    </w:rPr>
  </w:style>
  <w:style w:type="character" w:styleId="Nvel2OpcionalChar" w:customStyle="1">
    <w:name w:val="Nível 2 Opcional Char"/>
    <w:basedOn w:val="DefaultParagraphFont"/>
    <w:link w:val="Nvel2Opcional"/>
    <w:qFormat/>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customStyle="1">
    <w:name w:val="Parágrafo da Lista Char"/>
    <w:basedOn w:val="DefaultParagraphFont"/>
    <w:link w:val="PargrafodaLista"/>
    <w:qFormat/>
    <w:rPr>
      <w:rFonts w:ascii="Ecofont_Spranq_eco_Sans" w:hAnsi="Ecofont_Spranq_eco_Sans" w:cs="Tahoma"/>
      <w:sz w:val="24"/>
      <w:szCs w:val="24"/>
      <w:lang w:eastAsia="pt-BR"/>
    </w:rPr>
  </w:style>
  <w:style w:type="character" w:styleId="Ttulo3Char" w:customStyle="1">
    <w:name w:val="Título 3 Char"/>
    <w:basedOn w:val="DefaultParagraphFont"/>
    <w:link w:val="Ttulo3"/>
    <w:qFormat/>
    <w:rPr>
      <w:rFonts w:ascii="Calibri" w:hAnsi="Calibri" w:eastAsia="Segoe UI" w:cs="Times New Roman"/>
      <w:color w:val="243F60"/>
      <w:sz w:val="24"/>
      <w:szCs w:val="24"/>
    </w:rPr>
  </w:style>
  <w:style w:type="character" w:styleId="Ttulo6Char" w:customStyle="1">
    <w:name w:val="Título 6 Char"/>
    <w:basedOn w:val="DefaultParagraphFont"/>
    <w:link w:val="Ttulo6"/>
    <w:qFormat/>
    <w:rPr>
      <w:rFonts w:ascii="Calibri" w:hAnsi="Calibri" w:eastAsia="Segoe UI" w:cs="Times New Roman"/>
      <w:color w:val="243F60"/>
      <w:sz w:val="22"/>
      <w:szCs w:val="22"/>
    </w:rPr>
  </w:style>
  <w:style w:type="character" w:styleId="Markedcontent" w:customStyle="1">
    <w:name w:val="markedcontent"/>
    <w:basedOn w:val="DefaultParagraphFont"/>
    <w:qFormat/>
    <w:rPr/>
  </w:style>
  <w:style w:type="character" w:styleId="MenoPendente3" w:customStyle="1">
    <w:name w:val="Menção Pendente3"/>
    <w:basedOn w:val="DefaultParagraphFont"/>
    <w:qFormat/>
    <w:rPr>
      <w:color w:val="605E5C"/>
      <w:shd w:fill="E1DFDD" w:val="clear"/>
    </w:rPr>
  </w:style>
  <w:style w:type="character" w:styleId="MenoPendente4" w:customStyle="1">
    <w:name w:val="Menção Pendente4"/>
    <w:basedOn w:val="DefaultParagraphFont"/>
    <w:qFormat/>
    <w:rPr>
      <w:color w:val="605E5C"/>
      <w:shd w:fill="E1DFDD" w:val="clear"/>
    </w:rPr>
  </w:style>
  <w:style w:type="character" w:styleId="OuChar" w:customStyle="1">
    <w:name w:val="ou Char"/>
    <w:basedOn w:val="PargrafodaListaChar"/>
    <w:link w:val="ou"/>
    <w:qFormat/>
    <w:rPr>
      <w:rFonts w:ascii="Arial" w:hAnsi="Arial" w:eastAsia="Cambria" w:cs="Arial"/>
      <w:b/>
      <w:bCs/>
      <w:i/>
      <w:iCs/>
      <w:color w:val="FF0000"/>
      <w:sz w:val="24"/>
      <w:szCs w:val="24"/>
      <w:u w:val="single"/>
      <w:lang w:eastAsia="pt-BR"/>
    </w:rPr>
  </w:style>
  <w:style w:type="character" w:styleId="Nvel2RedChar" w:customStyle="1">
    <w:name w:val="Nível 2 -Red Char"/>
    <w:basedOn w:val="Nivel2Char"/>
    <w:link w:val="Nvel2-Red"/>
    <w:qFormat/>
    <w:rPr>
      <w:rFonts w:ascii="Ecofont_Spranq_eco_Sans" w:hAnsi="Ecofont_Spranq_eco_Sans" w:eastAsia="Arial" w:cs="Arial"/>
      <w:b/>
      <w:bCs/>
      <w:iCs/>
      <w:color w:val="FF0000"/>
      <w:lang w:eastAsia="pt-BR"/>
    </w:rPr>
  </w:style>
  <w:style w:type="character" w:styleId="Nivel3Char" w:customStyle="1">
    <w:name w:val="Nivel 3 Char"/>
    <w:basedOn w:val="DefaultParagraphFont"/>
    <w:link w:val="Nivel3"/>
    <w:qFormat/>
    <w:rPr>
      <w:rFonts w:ascii="Arial" w:hAnsi="Arial" w:cs="Arial"/>
      <w:lang w:eastAsia="pt-BR"/>
    </w:rPr>
  </w:style>
  <w:style w:type="character" w:styleId="Nvel3RChar" w:customStyle="1">
    <w:name w:val="Nível 3-R Char"/>
    <w:basedOn w:val="Nivel3Char"/>
    <w:link w:val="Nvel3-R"/>
    <w:qFormat/>
    <w:rPr>
      <w:rFonts w:ascii="Arial" w:hAnsi="Arial" w:cs="Arial"/>
      <w:i/>
      <w:iCs/>
      <w:color w:val="FF0000"/>
      <w:lang w:eastAsia="pt-BR"/>
    </w:rPr>
  </w:style>
  <w:style w:type="character" w:styleId="Nvel4RChar" w:customStyle="1">
    <w:name w:val="Nível 4-R Char"/>
    <w:basedOn w:val="Nivel4Char"/>
    <w:link w:val="Nvel4-R"/>
    <w:qFormat/>
    <w:rPr>
      <w:rFonts w:ascii="Arial" w:hAnsi="Arial" w:cs="Arial"/>
      <w:i/>
      <w:iCs/>
      <w:color w:val="FF0000"/>
      <w:lang w:eastAsia="pt-BR"/>
    </w:rPr>
  </w:style>
  <w:style w:type="character" w:styleId="Nvel1SemNumChar" w:customStyle="1">
    <w:name w:val="Nível 1-Sem Num Char"/>
    <w:basedOn w:val="Nivel01Char"/>
    <w:link w:val="Nvel1-SemNum"/>
    <w:qFormat/>
    <w:rPr>
      <w:rFonts w:ascii="Arial" w:hAnsi="Arial" w:eastAsia="Segoe UI" w:cs="Arial"/>
      <w:b/>
      <w:bCs/>
      <w:color w:val="FF0000"/>
      <w:spacing w:val="5"/>
      <w:kern w:val="2"/>
      <w:sz w:val="52"/>
      <w:szCs w:val="52"/>
      <w:lang w:eastAsia="pt-BR"/>
    </w:rPr>
  </w:style>
  <w:style w:type="character" w:styleId="PrembuloChar" w:customStyle="1">
    <w:name w:val="Preâmbulo Char"/>
    <w:basedOn w:val="DefaultParagraphFont"/>
    <w:link w:val="Prembulo"/>
    <w:qFormat/>
    <w:rPr>
      <w:rFonts w:ascii="Arial" w:hAnsi="Arial" w:eastAsia="Arial" w:cs="Arial"/>
      <w:bCs/>
      <w:lang w:eastAsia="pt-BR"/>
    </w:rPr>
  </w:style>
  <w:style w:type="character" w:styleId="Mentionnonrsolue1" w:customStyle="1">
    <w:name w:val="Mention non résolue1"/>
    <w:basedOn w:val="DefaultParagraphFont"/>
    <w:qFormat/>
    <w:rPr>
      <w:color w:val="605E5C"/>
      <w:shd w:fill="E1DFDD" w:val="clear"/>
    </w:rPr>
  </w:style>
  <w:style w:type="character" w:styleId="Citao2Char" w:customStyle="1">
    <w:name w:val="citação 2 Char"/>
    <w:basedOn w:val="CitaoChar"/>
    <w:link w:val="citao2"/>
    <w:qFormat/>
    <w:rPr>
      <w:rFonts w:ascii="Arial" w:hAnsi="Arial" w:eastAsia="Calibri" w:cs="Tahoma"/>
      <w:i/>
      <w:iCs/>
      <w:color w:val="000000"/>
      <w:szCs w:val="24"/>
      <w:shd w:fill="FFFFCC" w:val="clear"/>
    </w:rPr>
  </w:style>
  <w:style w:type="character" w:styleId="Nvel01SemNumeraoChar" w:customStyle="1">
    <w:name w:val="Nível 01-Sem Numeração Char"/>
    <w:basedOn w:val="DefaultParagraphFont"/>
    <w:link w:val="Nvel01-SemNumerao"/>
    <w:qFormat/>
    <w:rPr>
      <w:rFonts w:ascii="Arial" w:hAnsi="Arial" w:eastAsia="Segoe UI" w:cs="Arial"/>
      <w:b/>
      <w:bCs/>
      <w:color w:val="FF0000"/>
      <w:lang w:eastAsia="pt-BR"/>
    </w:rPr>
  </w:style>
  <w:style w:type="character" w:styleId="MenoPendente5" w:customStyle="1">
    <w:name w:val="Menção Pendente5"/>
    <w:basedOn w:val="DefaultParagraphFont"/>
    <w:qFormat/>
    <w:rPr>
      <w:color w:val="605E5C"/>
      <w:shd w:fill="E1DFDD" w:val="clear"/>
    </w:rPr>
  </w:style>
  <w:style w:type="character" w:styleId="Fontstyle01" w:customStyle="1">
    <w:name w:val="fontstyle01"/>
    <w:basedOn w:val="DefaultParagraphFont"/>
    <w:qFormat/>
    <w:rsid w:val="00b81ad1"/>
    <w:rPr>
      <w:rFonts w:ascii="LiberationSerif" w:hAnsi="LiberationSerif"/>
      <w:b w:val="false"/>
      <w:bCs w:val="false"/>
      <w:i w:val="false"/>
      <w:iCs w:val="false"/>
      <w:color w:val="000000"/>
      <w:sz w:val="18"/>
      <w:szCs w:val="18"/>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before="280" w:after="280"/>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Annotationtext">
    <w:name w:val="annotation text"/>
    <w:basedOn w:val="Normal"/>
    <w:link w:val="TextodecomentrioChar"/>
    <w:qFormat/>
    <w:pPr/>
    <w:rPr>
      <w:sz w:val="20"/>
      <w:szCs w:val="20"/>
    </w:rPr>
  </w:style>
  <w:style w:type="paragraph" w:styleId="Ttulododocumento">
    <w:name w:val="Title"/>
    <w:basedOn w:val="Normal"/>
    <w:next w:val="Corpodotexto"/>
    <w:link w:val="TtuloChar"/>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Bullet5">
    <w:name w:val="List Bullet 5"/>
    <w:basedOn w:val="Normal"/>
    <w:qFormat/>
    <w:pPr>
      <w:numPr>
        <w:ilvl w:val="0"/>
        <w:numId w:val="1"/>
      </w:numPr>
      <w:spacing w:before="0" w:after="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CabealhoeRodap" w:customStyle="1">
    <w:name w:val="Cabeçalho e Rodapé"/>
    <w:basedOn w:val="Normal"/>
    <w:qFormat/>
    <w:pPr/>
    <w:rPr/>
  </w:style>
  <w:style w:type="paragraph" w:styleId="Cabealho">
    <w:name w:val="Header"/>
    <w:basedOn w:val="Normal"/>
    <w:link w:val="CabealhoChar"/>
    <w:pPr>
      <w:tabs>
        <w:tab w:val="clear" w:pos="708"/>
        <w:tab w:val="center" w:pos="4252" w:leader="none"/>
        <w:tab w:val="right" w:pos="8504" w:leader="none"/>
      </w:tabs>
    </w:pPr>
    <w:rPr/>
  </w:style>
  <w:style w:type="paragraph" w:styleId="Annotationsubject">
    <w:name w:val="annotation subject"/>
    <w:basedOn w:val="Annotationtext"/>
    <w:next w:val="Annotationtext"/>
    <w:link w:val="AssuntodocomentrioChar"/>
    <w:qFormat/>
    <w:pPr/>
    <w:rPr>
      <w:b/>
      <w:bCs/>
    </w:rPr>
  </w:style>
  <w:style w:type="paragraph" w:styleId="Rodap">
    <w:name w:val="Footer"/>
    <w:basedOn w:val="Normal"/>
    <w:link w:val="RodapChar"/>
    <w:pPr>
      <w:tabs>
        <w:tab w:val="clear" w:pos="708"/>
        <w:tab w:val="center" w:pos="4252" w:leader="none"/>
        <w:tab w:val="right" w:pos="8504" w:leader="none"/>
      </w:tabs>
    </w:pPr>
    <w:rPr/>
  </w:style>
  <w:style w:type="paragraph" w:styleId="Caption">
    <w:name w:val="caption"/>
    <w:basedOn w:val="Normal"/>
    <w:qFormat/>
    <w:pPr>
      <w:suppressLineNumbers/>
      <w:spacing w:before="120" w:after="120"/>
    </w:pPr>
    <w:rPr>
      <w:rFonts w:cs="Lucida Sans"/>
      <w:i/>
      <w:iCs/>
    </w:rPr>
  </w:style>
  <w:style w:type="paragraph" w:styleId="BalloonText">
    <w:name w:val="Balloon Text"/>
    <w:basedOn w:val="Normal"/>
    <w:link w:val="TextodebaloChar"/>
    <w:qFormat/>
    <w:pPr/>
    <w:rPr>
      <w:rFonts w:ascii="Tahoma" w:hAnsi="Tahoma"/>
      <w:sz w:val="16"/>
      <w:szCs w:val="16"/>
    </w:rPr>
  </w:style>
  <w:style w:type="paragraph" w:styleId="Quote">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Notaexplicativa" w:customStyle="1">
    <w:name w:val="Nota explicativa"/>
    <w:basedOn w:val="Quote"/>
    <w:link w:val="NotaexplicativaChar"/>
    <w:qFormat/>
    <w:pPr>
      <w:shd w:fill="FFFFCC" w:val="clear"/>
    </w:pPr>
    <w:rPr>
      <w:szCs w:val="20"/>
    </w:rPr>
  </w:style>
  <w:style w:type="paragraph" w:styleId="Nivel01" w:customStyle="1">
    <w:name w:val="Nivel 01"/>
    <w:basedOn w:val="Ttulo1"/>
    <w:next w:val="Normal"/>
    <w:link w:val="Nivel01Char"/>
    <w:qFormat/>
    <w:pPr>
      <w:tabs>
        <w:tab w:val="clear" w:pos="708"/>
        <w:tab w:val="left" w:pos="567" w:leader="none"/>
      </w:tabs>
      <w:spacing w:lineRule="auto" w:line="276" w:before="240" w:after="120"/>
      <w:jc w:val="both"/>
    </w:pPr>
    <w:rPr>
      <w:rFonts w:ascii="Arial" w:hAnsi="Arial" w:cs="Arial"/>
      <w:color w:val="auto"/>
      <w:sz w:val="20"/>
      <w:szCs w:val="20"/>
    </w:rPr>
  </w:style>
  <w:style w:type="paragraph" w:styleId="Nivel01Titulo" w:customStyle="1">
    <w:name w:val="Nivel_01_Titulo"/>
    <w:basedOn w:val="Nivel01"/>
    <w:link w:val="Nivel01TituloChar"/>
    <w:qFormat/>
    <w:pPr>
      <w:jc w:val="left"/>
    </w:pPr>
    <w:rPr>
      <w:rFonts w:cs="Times New Roman"/>
      <w:color w:val="000000"/>
      <w:spacing w:val="5"/>
      <w:kern w:val="2"/>
      <w:sz w:val="52"/>
      <w:szCs w:val="52"/>
    </w:rPr>
  </w:style>
  <w:style w:type="paragraph" w:styleId="Citao1" w:customStyle="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Textbody" w:customStyle="1">
    <w:name w:val="Text body"/>
    <w:basedOn w:val="Standard"/>
    <w:link w:val="CorpodetextoChar"/>
    <w:qFormat/>
    <w:pPr>
      <w:spacing w:lineRule="auto" w:line="276" w:before="0" w:after="140"/>
    </w:pPr>
    <w:rPr/>
  </w:style>
  <w:style w:type="paragraph" w:styleId="Standard" w:customStyle="1">
    <w:name w:val="Standard"/>
    <w:qFormat/>
    <w:pPr>
      <w:widowControl/>
      <w:suppressAutoHyphens w:val="true"/>
      <w:bidi w:val="0"/>
      <w:spacing w:before="0" w:after="0"/>
      <w:jc w:val="left"/>
    </w:pPr>
    <w:rPr>
      <w:rFonts w:ascii="Liberation Serif" w:hAnsi="Liberation Serif" w:eastAsia="NSimSun" w:cs="Lucida Sans"/>
      <w:color w:val="auto"/>
      <w:kern w:val="2"/>
      <w:sz w:val="24"/>
      <w:szCs w:val="24"/>
      <w:lang w:eastAsia="zh-CN" w:bidi="hi-IN" w:val="pt-BR"/>
    </w:rPr>
  </w:style>
  <w:style w:type="paragraph" w:styleId="Nivel1" w:customStyle="1">
    <w:name w:val="Nivel1"/>
    <w:basedOn w:val="Ttulo1"/>
    <w:link w:val="Nivel1Char"/>
    <w:qFormat/>
    <w:pPr>
      <w:spacing w:lineRule="auto" w:line="276"/>
      <w:ind w:left="357" w:hanging="357"/>
      <w:jc w:val="both"/>
    </w:pPr>
    <w:rPr>
      <w:rFonts w:ascii="Arial" w:hAnsi="Arial" w:cs="Arial"/>
      <w:bCs w:val="false"/>
      <w:color w:val="000000"/>
    </w:rPr>
  </w:style>
  <w:style w:type="paragraph" w:styleId="Nivel4" w:customStyle="1">
    <w:name w:val="Nivel 4"/>
    <w:basedOn w:val="Nivel3"/>
    <w:link w:val="Nivel4Char"/>
    <w:qFormat/>
    <w:pPr/>
    <w:rPr/>
  </w:style>
  <w:style w:type="paragraph" w:styleId="Nivel3" w:customStyle="1">
    <w:name w:val="Nivel 3"/>
    <w:basedOn w:val="Normal"/>
    <w:link w:val="Nivel3Char"/>
    <w:qFormat/>
    <w:pPr>
      <w:numPr>
        <w:ilvl w:val="0"/>
        <w:numId w:val="2"/>
      </w:numPr>
      <w:spacing w:lineRule="auto" w:line="276" w:before="120" w:after="120"/>
      <w:ind w:left="284" w:hanging="0"/>
      <w:jc w:val="both"/>
    </w:pPr>
    <w:rPr>
      <w:rFonts w:ascii="Arial" w:hAnsi="Arial" w:cs="Arial"/>
      <w:sz w:val="20"/>
      <w:szCs w:val="20"/>
    </w:rPr>
  </w:style>
  <w:style w:type="paragraph" w:styleId="GradeColoridanfase11" w:customStyle="1">
    <w:name w:val="Grade Colorida - Ênfase 11"/>
    <w:basedOn w:val="Normal"/>
    <w:next w:val="Normal"/>
    <w:link w:val="GradeColorida-nfase1Char"/>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Nivel2" w:customStyle="1">
    <w:name w:val="Nivel 2"/>
    <w:basedOn w:val="Normal"/>
    <w:link w:val="Nivel2Char"/>
    <w:qFormat/>
    <w:pPr>
      <w:numPr>
        <w:ilvl w:val="0"/>
        <w:numId w:val="2"/>
      </w:numPr>
      <w:tabs>
        <w:tab w:val="clear" w:pos="708"/>
        <w:tab w:val="left" w:pos="0" w:leader="none"/>
      </w:tabs>
      <w:spacing w:lineRule="auto" w:line="276" w:before="120" w:after="120"/>
      <w:ind w:left="999" w:hanging="0"/>
      <w:jc w:val="both"/>
    </w:pPr>
    <w:rPr>
      <w:rFonts w:eastAsia="Arial" w:cs="Arial"/>
      <w:color w:val="FF0000"/>
      <w:sz w:val="20"/>
      <w:szCs w:val="20"/>
    </w:rPr>
  </w:style>
  <w:style w:type="paragraph" w:styleId="Nvel2Opcional" w:customStyle="1">
    <w:name w:val="Nível 2 Opcional"/>
    <w:basedOn w:val="Nivel2"/>
    <w:link w:val="Nvel2OpcionalChar"/>
    <w:qFormat/>
    <w:pPr>
      <w:numPr>
        <w:ilvl w:val="0"/>
        <w:numId w:val="0"/>
      </w:numPr>
      <w:ind w:left="432" w:hanging="432"/>
    </w:pPr>
    <w:rPr>
      <w:rFonts w:eastAsia="Times New Roman"/>
    </w:rPr>
  </w:style>
  <w:style w:type="paragraph" w:styleId="Nvel3Opcional" w:customStyle="1">
    <w:name w:val="Nível 3 Opcional"/>
    <w:basedOn w:val="Nivel3"/>
    <w:link w:val="Nvel3OpcionalChar"/>
    <w:qFormat/>
    <w:pPr>
      <w:numPr>
        <w:ilvl w:val="0"/>
        <w:numId w:val="0"/>
      </w:numPr>
      <w:ind w:left="1072" w:hanging="504"/>
    </w:pPr>
    <w:rPr>
      <w:rFonts w:eastAsia="Times New Roman"/>
      <w:i/>
      <w:iCs/>
      <w:color w:val="FF0000"/>
    </w:rPr>
  </w:style>
  <w:style w:type="paragraph" w:styleId="ListParagraph">
    <w:name w:val="List Paragraph"/>
    <w:basedOn w:val="Normal"/>
    <w:link w:val="PargrafodaListaChar"/>
    <w:qFormat/>
    <w:pPr>
      <w:spacing w:before="0" w:after="0"/>
      <w:ind w:left="720" w:hanging="0"/>
      <w:contextualSpacing/>
    </w:pPr>
    <w:rPr/>
  </w:style>
  <w:style w:type="paragraph" w:styleId="Ou" w:customStyle="1">
    <w:name w:val="ou"/>
    <w:basedOn w:val="ListParagraph"/>
    <w:link w:val="ouChar"/>
    <w:qFormat/>
    <w:pPr>
      <w:spacing w:lineRule="auto" w:line="276" w:before="120" w:after="120"/>
      <w:ind w:left="0" w:hanging="0"/>
      <w:jc w:val="center"/>
    </w:pPr>
    <w:rPr>
      <w:rFonts w:ascii="Arial" w:hAnsi="Arial" w:eastAsia="Cambria" w:cs="Arial"/>
      <w:b/>
      <w:bCs/>
      <w:i/>
      <w:iCs/>
      <w:color w:val="FF0000"/>
      <w:sz w:val="20"/>
      <w:szCs w:val="20"/>
      <w:u w:val="single"/>
    </w:rPr>
  </w:style>
  <w:style w:type="paragraph" w:styleId="Nvel2Red" w:customStyle="1">
    <w:name w:val="Nível 2 -Red"/>
    <w:basedOn w:val="Nivel2"/>
    <w:link w:val="Nvel2-RedChar"/>
    <w:qFormat/>
    <w:pPr/>
    <w:rPr/>
  </w:style>
  <w:style w:type="paragraph" w:styleId="Nvel3R" w:customStyle="1">
    <w:name w:val="Nível 3-R"/>
    <w:basedOn w:val="Nivel3"/>
    <w:link w:val="Nvel3-RChar"/>
    <w:qFormat/>
    <w:pPr/>
    <w:rPr>
      <w:i/>
      <w:iCs/>
      <w:color w:val="FF0000"/>
    </w:rPr>
  </w:style>
  <w:style w:type="paragraph" w:styleId="Nvel4R" w:customStyle="1">
    <w:name w:val="Nível 4-R"/>
    <w:basedOn w:val="Nivel4"/>
    <w:link w:val="Nvel4-RChar"/>
    <w:qFormat/>
    <w:pPr>
      <w:ind w:left="567" w:hanging="0"/>
    </w:pPr>
    <w:rPr>
      <w:i/>
      <w:iCs/>
      <w:color w:val="FF0000"/>
    </w:rPr>
  </w:style>
  <w:style w:type="paragraph" w:styleId="Nvel1SemNum" w:customStyle="1">
    <w:name w:val="Nível 1-Sem Num"/>
    <w:basedOn w:val="Nivel01"/>
    <w:link w:val="Nvel1-SemNumChar"/>
    <w:qFormat/>
    <w:pPr>
      <w:outlineLvl w:val="1"/>
    </w:pPr>
    <w:rPr>
      <w:color w:val="FF0000"/>
    </w:rPr>
  </w:style>
  <w:style w:type="paragraph" w:styleId="Prembulo" w:customStyle="1">
    <w:name w:val="Preâmbulo"/>
    <w:basedOn w:val="Normal"/>
    <w:link w:val="PrembuloChar"/>
    <w:qFormat/>
    <w:pPr>
      <w:spacing w:lineRule="auto" w:line="360" w:before="480" w:after="120"/>
      <w:ind w:left="4253" w:right="-17" w:hanging="0"/>
      <w:jc w:val="both"/>
    </w:pPr>
    <w:rPr>
      <w:rFonts w:ascii="Arial" w:hAnsi="Arial" w:eastAsia="Arial" w:cs="Arial"/>
      <w:bCs/>
      <w:sz w:val="20"/>
      <w:szCs w:val="20"/>
    </w:rPr>
  </w:style>
  <w:style w:type="paragraph" w:styleId="Citao2" w:customStyle="1">
    <w:name w:val="citação 2"/>
    <w:basedOn w:val="Quote"/>
    <w:link w:val="citao2Char"/>
    <w:qFormat/>
    <w:pPr>
      <w:shd w:fill="FFFFCC" w:val="clear"/>
      <w:overflowPunct w:val="true"/>
    </w:pPr>
    <w:rPr>
      <w:szCs w:val="20"/>
    </w:rPr>
  </w:style>
  <w:style w:type="paragraph" w:styleId="Nvel01SemNumerao" w:customStyle="1">
    <w:name w:val="Nível 01-Sem Numeração"/>
    <w:basedOn w:val="Normal"/>
    <w:link w:val="Nvel01-SemNumeraoChar"/>
    <w:qFormat/>
    <w:pPr>
      <w:keepNext w:val="true"/>
      <w:keepLines/>
      <w:spacing w:lineRule="auto" w:line="276" w:before="240" w:after="120"/>
      <w:jc w:val="both"/>
      <w:outlineLvl w:val="1"/>
    </w:pPr>
    <w:rPr>
      <w:rFonts w:ascii="Arial" w:hAnsi="Arial" w:cs="Arial"/>
      <w:b/>
      <w:bCs/>
      <w:color w:val="FF0000"/>
      <w:sz w:val="20"/>
      <w:szCs w:val="20"/>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eastAsia="zh-CN" w:bidi="hi-IN" w:val="pt-BR"/>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PargrafodaLista1" w:customStyle="1">
    <w:name w:val="Parágrafo da Lista1"/>
    <w:basedOn w:val="Normal"/>
    <w:qFormat/>
    <w:pPr>
      <w:ind w:left="720" w:hanging="0"/>
    </w:pPr>
    <w:rPr>
      <w:rFonts w:eastAsia="Times New Roman" w:cs="Ecofont_Spranq_eco_Sans"/>
    </w:rPr>
  </w:style>
  <w:style w:type="paragraph" w:styleId="Nivel11" w:customStyle="1">
    <w:name w:val="Nivel 1"/>
    <w:basedOn w:val="Nivel2"/>
    <w:next w:val="Nivel2"/>
    <w:qFormat/>
    <w:pPr>
      <w:numPr>
        <w:ilvl w:val="0"/>
        <w:numId w:val="0"/>
      </w:numPr>
      <w:ind w:left="360" w:hanging="360"/>
    </w:pPr>
    <w:rPr>
      <w:b/>
    </w:rPr>
  </w:style>
  <w:style w:type="paragraph" w:styleId="Nivel5" w:customStyle="1">
    <w:name w:val="Nivel 5"/>
    <w:basedOn w:val="Nivel4"/>
    <w:qFormat/>
    <w:pPr>
      <w:ind w:left="851" w:hanging="0"/>
    </w:pPr>
    <w:rPr/>
  </w:style>
  <w:style w:type="paragraph" w:styleId="Textbody1" w:customStyle="1">
    <w:name w:val="textbody"/>
    <w:basedOn w:val="Normal"/>
    <w:qFormat/>
    <w:pPr>
      <w:spacing w:before="280" w:after="280"/>
    </w:pPr>
    <w:rPr>
      <w:rFonts w:ascii="Times New Roman" w:hAnsi="Times New Roman" w:eastAsia="Times New Roman" w:cs="Times New Roman"/>
    </w:rPr>
  </w:style>
  <w:style w:type="paragraph" w:styleId="Em0020ementa" w:customStyle="1">
    <w:name w:val="em_0020ementa"/>
    <w:basedOn w:val="Normal"/>
    <w:qFormat/>
    <w:pPr>
      <w:ind w:left="4160" w:hanging="0"/>
      <w:jc w:val="both"/>
    </w:pPr>
    <w:rPr>
      <w:rFonts w:ascii="Times New Roman" w:hAnsi="Times New Roman" w:eastAsia="Times New Roman" w:cs="Times New Roman"/>
      <w:sz w:val="28"/>
      <w:szCs w:val="28"/>
    </w:rPr>
  </w:style>
  <w:style w:type="paragraph" w:styleId="Reviso1" w:customStyle="1">
    <w:name w:val="Revisão1"/>
    <w:qFormat/>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pPr>
      <w:spacing w:before="280" w:after="280"/>
    </w:pPr>
    <w:rPr>
      <w:rFonts w:ascii="Times New Roman" w:hAnsi="Times New Roman" w:eastAsia="Times New Roman" w:cs="Times New Roman"/>
    </w:rPr>
  </w:style>
  <w:style w:type="paragraph" w:styleId="Xwestern" w:customStyle="1">
    <w:name w:val="x_western"/>
    <w:basedOn w:val="Normal"/>
    <w:qFormat/>
    <w:pPr>
      <w:spacing w:before="280" w:after="280"/>
    </w:pPr>
    <w:rPr>
      <w:rFonts w:ascii="Times New Roman" w:hAnsi="Times New Roman" w:eastAsia="Times New Roman" w:cs="Times New Roman"/>
    </w:rPr>
  </w:style>
  <w:style w:type="paragraph" w:styleId="TCUAcitem90" w:customStyle="1">
    <w:name w:val="TCU - Ac - item 9 - §§_0"/>
    <w:basedOn w:val="Normal"/>
    <w:qFormat/>
    <w:pPr>
      <w:ind w:firstLine="1134"/>
      <w:jc w:val="both"/>
    </w:pPr>
    <w:rPr>
      <w:rFonts w:ascii="Times New Roman" w:hAnsi="Times New Roman" w:eastAsia="Times New Roman" w:cs="Times New Roman"/>
      <w:szCs w:val="22"/>
      <w:lang w:eastAsia="en-US"/>
    </w:rPr>
  </w:style>
  <w:style w:type="paragraph" w:styleId="Normal1" w:customStyle="1">
    <w:name w:val="Normal_1"/>
    <w:qFormat/>
    <w:pPr>
      <w:widowControl/>
      <w:suppressAutoHyphens w:val="true"/>
      <w:bidi w:val="0"/>
      <w:spacing w:before="0" w:after="0"/>
      <w:jc w:val="left"/>
    </w:pPr>
    <w:rPr>
      <w:rFonts w:eastAsia="Times New Roman" w:ascii="Times New Roman" w:hAnsi="Times New Roman" w:cs="Times New Roman"/>
      <w:color w:val="auto"/>
      <w:kern w:val="0"/>
      <w:sz w:val="24"/>
      <w:szCs w:val="22"/>
      <w:lang w:eastAsia="en-US" w:val="pt-BR" w:bidi="ar-SA"/>
    </w:rPr>
  </w:style>
  <w:style w:type="paragraph" w:styleId="Tcuacitem91linha" w:customStyle="1">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customStyle="1">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customStyle="1">
    <w:name w:val="texto_justificado"/>
    <w:basedOn w:val="Normal"/>
    <w:qFormat/>
    <w:pPr>
      <w:spacing w:before="280" w:after="280"/>
    </w:pPr>
    <w:rPr>
      <w:rFonts w:ascii="Times New Roman" w:hAnsi="Times New Roman" w:eastAsia="Times New Roman" w:cs="Times New Roman"/>
    </w:rPr>
  </w:style>
  <w:style w:type="paragraph" w:styleId="SombreamentoMdio1nfase31" w:customStyle="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pPr>
      <w:spacing w:before="280" w:after="280"/>
    </w:pPr>
    <w:rPr>
      <w:rFonts w:ascii="Times New Roman" w:hAnsi="Times New Roman" w:eastAsia="Times New Roman" w:cs="Times New Roman"/>
    </w:rPr>
  </w:style>
  <w:style w:type="paragraph" w:styleId="Itemnivel2" w:customStyle="1">
    <w:name w:val="item_nivel2"/>
    <w:basedOn w:val="Normal"/>
    <w:qFormat/>
    <w:pPr>
      <w:spacing w:before="280" w:after="280"/>
    </w:pPr>
    <w:rPr>
      <w:rFonts w:ascii="Times New Roman" w:hAnsi="Times New Roman" w:eastAsia="Times New Roman" w:cs="Times New Roman"/>
    </w:rPr>
  </w:style>
  <w:style w:type="paragraph" w:styleId="Itemnivel1" w:customStyle="1">
    <w:name w:val="item_nivel1"/>
    <w:basedOn w:val="Normal"/>
    <w:qFormat/>
    <w:pPr>
      <w:spacing w:before="280" w:after="280"/>
    </w:pPr>
    <w:rPr>
      <w:rFonts w:ascii="Times New Roman" w:hAnsi="Times New Roman" w:eastAsia="Times New Roman" w:cs="Times New Roman"/>
    </w:rPr>
  </w:style>
  <w:style w:type="paragraph" w:styleId="Itemalinealetra" w:customStyle="1">
    <w:name w:val="item_alinea_letra"/>
    <w:basedOn w:val="Normal"/>
    <w:qFormat/>
    <w:pPr>
      <w:spacing w:before="280" w:after="280"/>
    </w:pPr>
    <w:rPr>
      <w:rFonts w:ascii="Times New Roman" w:hAnsi="Times New Roman" w:eastAsia="Times New Roman" w:cs="Times New Roman"/>
    </w:rPr>
  </w:style>
  <w:style w:type="paragraph" w:styleId="Douparagraph" w:customStyle="1">
    <w:name w:val="dou-paragraph"/>
    <w:basedOn w:val="Normal"/>
    <w:qFormat/>
    <w:pPr>
      <w:spacing w:before="280" w:after="280"/>
    </w:pPr>
    <w:rPr>
      <w:rFonts w:ascii="Times New Roman" w:hAnsi="Times New Roman" w:eastAsia="Times New Roman" w:cs="Times New Roman"/>
    </w:rPr>
  </w:style>
  <w:style w:type="paragraph" w:styleId="LONormal" w:customStyle="1">
    <w:name w:val="LO-Normal"/>
    <w:qFormat/>
    <w:pPr>
      <w:widowControl w:val="false"/>
      <w:suppressAutoHyphens w:val="true"/>
      <w:bidi w:val="0"/>
      <w:spacing w:before="0" w:after="0"/>
      <w:jc w:val="left"/>
    </w:pPr>
    <w:rPr>
      <w:rFonts w:ascii="Liberation Serif;Times New Roma" w:hAnsi="Liberation Serif;Times New Roma" w:eastAsia="SimSun" w:cs="Arial"/>
      <w:color w:val="000000"/>
      <w:kern w:val="0"/>
      <w:sz w:val="24"/>
      <w:szCs w:val="24"/>
      <w:lang w:eastAsia="zh-CN" w:bidi="hi-IN" w:val="pt-BR"/>
    </w:rPr>
  </w:style>
  <w:style w:type="paragraph" w:styleId="CargoUnidTrab" w:customStyle="1">
    <w:name w:val="Cargo_Unid_Trab"/>
    <w:basedOn w:val="Normal"/>
    <w:qFormat/>
    <w:pPr>
      <w:tabs>
        <w:tab w:val="clear" w:pos="708"/>
        <w:tab w:val="left" w:pos="3119" w:leader="none"/>
        <w:tab w:val="left" w:pos="3544" w:leader="none"/>
        <w:tab w:val="left" w:pos="5954" w:leader="none"/>
        <w:tab w:val="left" w:pos="6379" w:leader="none"/>
      </w:tabs>
      <w:jc w:val="center"/>
    </w:pPr>
    <w:rPr/>
  </w:style>
  <w:style w:type="paragraph" w:styleId="Contedodoquadro" w:customStyle="1">
    <w:name w:val="Conteúdo do quadro"/>
    <w:basedOn w:val="Normal"/>
    <w:qFormat/>
    <w:pPr/>
    <w:rPr/>
  </w:style>
  <w:style w:type="paragraph" w:styleId="Contedodatabela" w:customStyle="1">
    <w:name w:val="Conteúdo da tabela"/>
    <w:basedOn w:val="Normal"/>
    <w:qFormat/>
    <w:pPr>
      <w:widowControl w:val="false"/>
      <w:suppressLineNumbers/>
    </w:pPr>
    <w:rPr/>
  </w:style>
  <w:style w:type="paragraph" w:styleId="Revision">
    <w:name w:val="Revision"/>
    <w:uiPriority w:val="99"/>
    <w:unhideWhenUsed/>
    <w:qFormat/>
    <w:rsid w:val="0065424b"/>
    <w:pPr>
      <w:widowControl/>
      <w:bidi w:val="0"/>
      <w:spacing w:before="0" w:after="0"/>
      <w:jc w:val="left"/>
    </w:pPr>
    <w:rPr>
      <w:rFonts w:ascii="Ecofont_Spranq_eco_Sans" w:hAnsi="Ecofont_Spranq_eco_Sans" w:cs="Tahoma" w:eastAsia="Segoe UI"/>
      <w:color w:val="auto"/>
      <w:kern w:val="0"/>
      <w:sz w:val="24"/>
      <w:szCs w:val="24"/>
      <w:lang w:val="pt-BR" w:eastAsia="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gov.br/compras/pt-br/acesso-a-informacao/legislacao/instrucoes-normativas/instrucao-normativa-seges-me-no-77-de-4-de-novembro-de-2022" TargetMode="External"/><Relationship Id="rId4" Type="http://schemas.openxmlformats.org/officeDocument/2006/relationships/hyperlink" Target="http://www.planalto.gov.br/ccivil_03/AGU/Pareceres/2019-2022/PRC-JL-01-2020.htm" TargetMode="External"/><Relationship Id="rId5" Type="http://schemas.openxmlformats.org/officeDocument/2006/relationships/hyperlink" Target="https://www.gov.br/empresas-e-negocios/pt-br/empreendedor" TargetMode="External"/><Relationship Id="rId6" Type="http://schemas.openxmlformats.org/officeDocument/2006/relationships/hyperlink" Target="https://www.planalto.gov.br/ccivil_03/decreto-lei/del5452.htm"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98CA597-9C61-46C0-8A63-A57D967E6D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Application>LibreOffice/7.0.1.2$Windows_X86_64 LibreOffice_project/7cbcfc562f6eb6708b5ff7d7397325de9e764452</Application>
  <Pages>13</Pages>
  <Words>4830</Words>
  <Characters>27244</Characters>
  <CharactersWithSpaces>31749</CharactersWithSpaces>
  <Paragraphs>232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2024-05-22T13:49:00Z</dcterms:created>
  <dc:creator>Jhonnata dutra</dc:creator>
  <dc:description/>
  <dc:language>pt-BR</dc:language>
  <cp:lastModifiedBy/>
  <cp:lastPrinted>2024-05-29T20:23:00Z</cp:lastPrinted>
  <dcterms:modified xsi:type="dcterms:W3CDTF">2024-06-06T12:34:25Z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0x01010082281FE09FF7E246B4A010428826EACD</vt:lpwstr>
  </property>
  <property fmtid="{D5CDD505-2E9C-101B-9397-08002B2CF9AE}" pid="4" name="DocSecurity">
    <vt:i4>0</vt:i4>
  </property>
  <property fmtid="{D5CDD505-2E9C-101B-9397-08002B2CF9AE}" pid="5" name="HyperlinksChanged">
    <vt:bool>0</vt:bool>
  </property>
  <property fmtid="{D5CDD505-2E9C-101B-9397-08002B2CF9AE}" pid="6" name="ICV">
    <vt:lpwstr>176C5D2E9CEA470A9023C54B3015A79D_12</vt:lpwstr>
  </property>
  <property fmtid="{D5CDD505-2E9C-101B-9397-08002B2CF9AE}" pid="7" name="KSOProductBuildVer">
    <vt:lpwstr>1046-12.2.0.13489</vt:lpwstr>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